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8CA7" w14:textId="08502F6E" w:rsidR="00C73491" w:rsidRPr="005F1101" w:rsidRDefault="004F757F" w:rsidP="005F1101">
      <w:pPr>
        <w:pStyle w:val="EEREHead01"/>
        <w:jc w:val="center"/>
        <w:rPr>
          <w:sz w:val="32"/>
          <w:szCs w:val="32"/>
        </w:rPr>
      </w:pPr>
      <w:r>
        <w:rPr>
          <w:sz w:val="32"/>
          <w:szCs w:val="32"/>
        </w:rPr>
        <w:t xml:space="preserve">Indirect </w:t>
      </w:r>
      <w:r w:rsidR="00C71745" w:rsidRPr="005F1101">
        <w:rPr>
          <w:sz w:val="32"/>
          <w:szCs w:val="32"/>
        </w:rPr>
        <w:t>Percentage (%) Cap Against Total Award</w:t>
      </w:r>
      <w:r w:rsidR="00E21678" w:rsidRPr="005F1101">
        <w:rPr>
          <w:sz w:val="32"/>
          <w:szCs w:val="32"/>
        </w:rPr>
        <w:t xml:space="preserve"> Fact Sheet</w:t>
      </w:r>
    </w:p>
    <w:p w14:paraId="5D27D345" w14:textId="2FB6946B" w:rsidR="00E21678" w:rsidRDefault="00276263" w:rsidP="006568A9">
      <w:pPr>
        <w:pStyle w:val="EEREHead02"/>
      </w:pPr>
      <w:bookmarkStart w:id="0" w:name="_Toc197940864"/>
      <w:bookmarkStart w:id="1" w:name="_Toc197941577"/>
      <w:bookmarkStart w:id="2" w:name="_Toc198028069"/>
      <w:bookmarkStart w:id="3" w:name="_Toc198048203"/>
      <w:bookmarkStart w:id="4" w:name="_Toc198636439"/>
      <w:r>
        <w:t>Contents</w:t>
      </w:r>
      <w:bookmarkEnd w:id="0"/>
      <w:bookmarkEnd w:id="1"/>
      <w:bookmarkEnd w:id="2"/>
      <w:bookmarkEnd w:id="3"/>
      <w:bookmarkEnd w:id="4"/>
    </w:p>
    <w:p w14:paraId="61887FD7" w14:textId="0089255C" w:rsidR="00967897" w:rsidRDefault="00276263">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\h \z \t "EERE_Head_02,1" </w:instrText>
      </w:r>
      <w:r>
        <w:fldChar w:fldCharType="separate"/>
      </w:r>
      <w:hyperlink w:anchor="_Toc198636440" w:history="1">
        <w:r w:rsidR="00967897" w:rsidRPr="00E27743">
          <w:rPr>
            <w:rStyle w:val="Hyperlink"/>
            <w:noProof/>
          </w:rPr>
          <w:t>Preamble</w:t>
        </w:r>
        <w:r w:rsidR="00967897">
          <w:rPr>
            <w:noProof/>
            <w:webHidden/>
          </w:rPr>
          <w:tab/>
        </w:r>
        <w:r w:rsidR="00967897">
          <w:rPr>
            <w:noProof/>
            <w:webHidden/>
          </w:rPr>
          <w:fldChar w:fldCharType="begin"/>
        </w:r>
        <w:r w:rsidR="00967897">
          <w:rPr>
            <w:noProof/>
            <w:webHidden/>
          </w:rPr>
          <w:instrText xml:space="preserve"> PAGEREF _Toc198636440 \h </w:instrText>
        </w:r>
        <w:r w:rsidR="00967897">
          <w:rPr>
            <w:noProof/>
            <w:webHidden/>
          </w:rPr>
        </w:r>
        <w:r w:rsidR="00967897">
          <w:rPr>
            <w:noProof/>
            <w:webHidden/>
          </w:rPr>
          <w:fldChar w:fldCharType="separate"/>
        </w:r>
        <w:r w:rsidR="00967897">
          <w:rPr>
            <w:noProof/>
            <w:webHidden/>
          </w:rPr>
          <w:t>1</w:t>
        </w:r>
        <w:r w:rsidR="00967897">
          <w:rPr>
            <w:noProof/>
            <w:webHidden/>
          </w:rPr>
          <w:fldChar w:fldCharType="end"/>
        </w:r>
      </w:hyperlink>
    </w:p>
    <w:p w14:paraId="4C9D3971" w14:textId="2AD06FBC" w:rsidR="00967897" w:rsidRDefault="00967897">
      <w:pPr>
        <w:pStyle w:val="TOC1"/>
        <w:tabs>
          <w:tab w:val="right" w:leader="dot" w:pos="9350"/>
        </w:tabs>
        <w:rPr>
          <w:rFonts w:asciiTheme="minorHAnsi" w:eastAsiaTheme="minorEastAsia" w:hAnsiTheme="minorHAnsi" w:cstheme="minorBidi"/>
          <w:noProof/>
          <w:kern w:val="2"/>
          <w14:ligatures w14:val="standardContextual"/>
        </w:rPr>
      </w:pPr>
      <w:hyperlink w:anchor="_Toc198636441" w:history="1">
        <w:r w:rsidRPr="00E27743">
          <w:rPr>
            <w:rStyle w:val="Hyperlink"/>
            <w:noProof/>
          </w:rPr>
          <w:t>DOE Policy</w:t>
        </w:r>
        <w:r>
          <w:rPr>
            <w:noProof/>
            <w:webHidden/>
          </w:rPr>
          <w:tab/>
        </w:r>
        <w:r>
          <w:rPr>
            <w:noProof/>
            <w:webHidden/>
          </w:rPr>
          <w:fldChar w:fldCharType="begin"/>
        </w:r>
        <w:r>
          <w:rPr>
            <w:noProof/>
            <w:webHidden/>
          </w:rPr>
          <w:instrText xml:space="preserve"> PAGEREF _Toc198636441 \h </w:instrText>
        </w:r>
        <w:r>
          <w:rPr>
            <w:noProof/>
            <w:webHidden/>
          </w:rPr>
        </w:r>
        <w:r>
          <w:rPr>
            <w:noProof/>
            <w:webHidden/>
          </w:rPr>
          <w:fldChar w:fldCharType="separate"/>
        </w:r>
        <w:r>
          <w:rPr>
            <w:noProof/>
            <w:webHidden/>
          </w:rPr>
          <w:t>1</w:t>
        </w:r>
        <w:r>
          <w:rPr>
            <w:noProof/>
            <w:webHidden/>
          </w:rPr>
          <w:fldChar w:fldCharType="end"/>
        </w:r>
      </w:hyperlink>
    </w:p>
    <w:p w14:paraId="46B171D4" w14:textId="600B9A3C" w:rsidR="00967897" w:rsidRDefault="00967897">
      <w:pPr>
        <w:pStyle w:val="TOC1"/>
        <w:tabs>
          <w:tab w:val="right" w:leader="dot" w:pos="9350"/>
        </w:tabs>
        <w:rPr>
          <w:rFonts w:asciiTheme="minorHAnsi" w:eastAsiaTheme="minorEastAsia" w:hAnsiTheme="minorHAnsi" w:cstheme="minorBidi"/>
          <w:noProof/>
          <w:kern w:val="2"/>
          <w14:ligatures w14:val="standardContextual"/>
        </w:rPr>
      </w:pPr>
      <w:hyperlink w:anchor="_Toc198636442" w:history="1">
        <w:r w:rsidRPr="00E27743">
          <w:rPr>
            <w:rStyle w:val="Hyperlink"/>
            <w:noProof/>
          </w:rPr>
          <w:t>Frequently Asked Questions</w:t>
        </w:r>
        <w:r>
          <w:rPr>
            <w:noProof/>
            <w:webHidden/>
          </w:rPr>
          <w:tab/>
        </w:r>
        <w:r>
          <w:rPr>
            <w:noProof/>
            <w:webHidden/>
          </w:rPr>
          <w:fldChar w:fldCharType="begin"/>
        </w:r>
        <w:r>
          <w:rPr>
            <w:noProof/>
            <w:webHidden/>
          </w:rPr>
          <w:instrText xml:space="preserve"> PAGEREF _Toc198636442 \h </w:instrText>
        </w:r>
        <w:r>
          <w:rPr>
            <w:noProof/>
            <w:webHidden/>
          </w:rPr>
        </w:r>
        <w:r>
          <w:rPr>
            <w:noProof/>
            <w:webHidden/>
          </w:rPr>
          <w:fldChar w:fldCharType="separate"/>
        </w:r>
        <w:r>
          <w:rPr>
            <w:noProof/>
            <w:webHidden/>
          </w:rPr>
          <w:t>2</w:t>
        </w:r>
        <w:r>
          <w:rPr>
            <w:noProof/>
            <w:webHidden/>
          </w:rPr>
          <w:fldChar w:fldCharType="end"/>
        </w:r>
      </w:hyperlink>
    </w:p>
    <w:p w14:paraId="20689A53" w14:textId="12C491A5" w:rsidR="00967897" w:rsidRDefault="00967897">
      <w:pPr>
        <w:pStyle w:val="TOC1"/>
        <w:tabs>
          <w:tab w:val="right" w:leader="dot" w:pos="9350"/>
        </w:tabs>
        <w:rPr>
          <w:rFonts w:asciiTheme="minorHAnsi" w:eastAsiaTheme="minorEastAsia" w:hAnsiTheme="minorHAnsi" w:cstheme="minorBidi"/>
          <w:noProof/>
          <w:kern w:val="2"/>
          <w14:ligatures w14:val="standardContextual"/>
        </w:rPr>
      </w:pPr>
      <w:hyperlink w:anchor="_Toc198636443" w:history="1">
        <w:r w:rsidRPr="00E27743">
          <w:rPr>
            <w:rStyle w:val="Hyperlink"/>
            <w:noProof/>
          </w:rPr>
          <w:t>Calculation Narrative and Examples</w:t>
        </w:r>
        <w:r>
          <w:rPr>
            <w:noProof/>
            <w:webHidden/>
          </w:rPr>
          <w:tab/>
        </w:r>
        <w:r>
          <w:rPr>
            <w:noProof/>
            <w:webHidden/>
          </w:rPr>
          <w:fldChar w:fldCharType="begin"/>
        </w:r>
        <w:r>
          <w:rPr>
            <w:noProof/>
            <w:webHidden/>
          </w:rPr>
          <w:instrText xml:space="preserve"> PAGEREF _Toc198636443 \h </w:instrText>
        </w:r>
        <w:r>
          <w:rPr>
            <w:noProof/>
            <w:webHidden/>
          </w:rPr>
        </w:r>
        <w:r>
          <w:rPr>
            <w:noProof/>
            <w:webHidden/>
          </w:rPr>
          <w:fldChar w:fldCharType="separate"/>
        </w:r>
        <w:r>
          <w:rPr>
            <w:noProof/>
            <w:webHidden/>
          </w:rPr>
          <w:t>5</w:t>
        </w:r>
        <w:r>
          <w:rPr>
            <w:noProof/>
            <w:webHidden/>
          </w:rPr>
          <w:fldChar w:fldCharType="end"/>
        </w:r>
      </w:hyperlink>
    </w:p>
    <w:p w14:paraId="67F5207E" w14:textId="130F2C79" w:rsidR="00967897" w:rsidRDefault="00967897">
      <w:pPr>
        <w:pStyle w:val="TOC1"/>
        <w:tabs>
          <w:tab w:val="right" w:leader="dot" w:pos="9350"/>
        </w:tabs>
        <w:rPr>
          <w:rFonts w:asciiTheme="minorHAnsi" w:eastAsiaTheme="minorEastAsia" w:hAnsiTheme="minorHAnsi" w:cstheme="minorBidi"/>
          <w:noProof/>
          <w:kern w:val="2"/>
          <w14:ligatures w14:val="standardContextual"/>
        </w:rPr>
      </w:pPr>
      <w:hyperlink w:anchor="_Toc198636444" w:history="1">
        <w:r w:rsidRPr="00E27743">
          <w:rPr>
            <w:rStyle w:val="Hyperlink"/>
            <w:noProof/>
          </w:rPr>
          <w:t>Definitions and Acronyms</w:t>
        </w:r>
        <w:r>
          <w:rPr>
            <w:noProof/>
            <w:webHidden/>
          </w:rPr>
          <w:tab/>
        </w:r>
        <w:r>
          <w:rPr>
            <w:noProof/>
            <w:webHidden/>
          </w:rPr>
          <w:fldChar w:fldCharType="begin"/>
        </w:r>
        <w:r>
          <w:rPr>
            <w:noProof/>
            <w:webHidden/>
          </w:rPr>
          <w:instrText xml:space="preserve"> PAGEREF _Toc198636444 \h </w:instrText>
        </w:r>
        <w:r>
          <w:rPr>
            <w:noProof/>
            <w:webHidden/>
          </w:rPr>
        </w:r>
        <w:r>
          <w:rPr>
            <w:noProof/>
            <w:webHidden/>
          </w:rPr>
          <w:fldChar w:fldCharType="separate"/>
        </w:r>
        <w:r>
          <w:rPr>
            <w:noProof/>
            <w:webHidden/>
          </w:rPr>
          <w:t>6</w:t>
        </w:r>
        <w:r>
          <w:rPr>
            <w:noProof/>
            <w:webHidden/>
          </w:rPr>
          <w:fldChar w:fldCharType="end"/>
        </w:r>
      </w:hyperlink>
    </w:p>
    <w:p w14:paraId="5A0CB991" w14:textId="41EC6068" w:rsidR="00E534F7" w:rsidRDefault="00276263" w:rsidP="00E534F7">
      <w:pPr>
        <w:pStyle w:val="EEREHead02"/>
      </w:pPr>
      <w:r>
        <w:fldChar w:fldCharType="end"/>
      </w:r>
      <w:bookmarkStart w:id="5" w:name="_Toc198636440"/>
      <w:r w:rsidR="00E534F7">
        <w:t>Preamble</w:t>
      </w:r>
      <w:bookmarkEnd w:id="5"/>
    </w:p>
    <w:p w14:paraId="2FE2159B" w14:textId="12BD8D37" w:rsidR="00E534F7" w:rsidRDefault="00E534F7" w:rsidP="00E534F7">
      <w:pPr>
        <w:spacing w:after="160" w:line="259" w:lineRule="auto"/>
        <w:rPr>
          <w:rFonts w:eastAsia="Times"/>
          <w:sz w:val="22"/>
        </w:rPr>
      </w:pPr>
      <w:r w:rsidRPr="00D627D4">
        <w:rPr>
          <w:rFonts w:eastAsia="Times"/>
          <w:sz w:val="22"/>
        </w:rPr>
        <w:t>It is a common misconception that an indirect rate is equal to the percentage of the total award costs (</w:t>
      </w:r>
      <w:r>
        <w:rPr>
          <w:rFonts w:eastAsia="Times"/>
          <w:sz w:val="22"/>
        </w:rPr>
        <w:t xml:space="preserve">e.g. a </w:t>
      </w:r>
      <w:r w:rsidRPr="00D627D4">
        <w:rPr>
          <w:rFonts w:eastAsia="Times"/>
          <w:sz w:val="22"/>
        </w:rPr>
        <w:t xml:space="preserve">50% rate does not mean 50% of the award).   Therefore, it is </w:t>
      </w:r>
      <w:r>
        <w:rPr>
          <w:rFonts w:eastAsia="Times"/>
          <w:sz w:val="22"/>
        </w:rPr>
        <w:t>important</w:t>
      </w:r>
      <w:r w:rsidRPr="00D627D4">
        <w:rPr>
          <w:rFonts w:eastAsia="Times"/>
          <w:sz w:val="22"/>
        </w:rPr>
        <w:t xml:space="preserve"> to</w:t>
      </w:r>
      <w:r>
        <w:rPr>
          <w:rFonts w:eastAsia="Times"/>
          <w:sz w:val="22"/>
        </w:rPr>
        <w:t xml:space="preserve"> understand</w:t>
      </w:r>
      <w:r w:rsidRPr="00D627D4">
        <w:rPr>
          <w:rFonts w:eastAsia="Times"/>
          <w:sz w:val="22"/>
        </w:rPr>
        <w:t xml:space="preserve"> a</w:t>
      </w:r>
      <w:r>
        <w:rPr>
          <w:rFonts w:eastAsia="Times"/>
          <w:sz w:val="22"/>
        </w:rPr>
        <w:t xml:space="preserve"> percentage</w:t>
      </w:r>
      <w:r w:rsidRPr="00D627D4">
        <w:rPr>
          <w:rFonts w:eastAsia="Times"/>
          <w:sz w:val="22"/>
        </w:rPr>
        <w:t xml:space="preserve"> cap on indirect cost recovery</w:t>
      </w:r>
      <w:r>
        <w:rPr>
          <w:rFonts w:eastAsia="Times"/>
          <w:sz w:val="22"/>
        </w:rPr>
        <w:t xml:space="preserve"> is not an indirect rate cap.</w:t>
      </w:r>
    </w:p>
    <w:p w14:paraId="3D87CD3E" w14:textId="7EFD63C9" w:rsidR="00E21678" w:rsidRDefault="00911DF1" w:rsidP="006568A9">
      <w:pPr>
        <w:pStyle w:val="EEREHead02"/>
      </w:pPr>
      <w:bookmarkStart w:id="6" w:name="_Toc198636441"/>
      <w:r>
        <w:t>DOE Policy</w:t>
      </w:r>
      <w:bookmarkEnd w:id="6"/>
    </w:p>
    <w:p w14:paraId="234865E8" w14:textId="1D5D5091" w:rsidR="00911DF1" w:rsidRPr="00911DF1" w:rsidRDefault="00911DF1" w:rsidP="00911DF1">
      <w:pPr>
        <w:spacing w:after="160" w:line="259" w:lineRule="auto"/>
        <w:rPr>
          <w:rFonts w:eastAsia="Times"/>
          <w:sz w:val="22"/>
        </w:rPr>
      </w:pPr>
      <w:r w:rsidRPr="00911DF1">
        <w:rPr>
          <w:rFonts w:eastAsia="Times"/>
          <w:sz w:val="22"/>
        </w:rPr>
        <w:t>The Department establish</w:t>
      </w:r>
      <w:r>
        <w:rPr>
          <w:rFonts w:eastAsia="Times"/>
          <w:sz w:val="22"/>
        </w:rPr>
        <w:t>ed</w:t>
      </w:r>
      <w:r w:rsidRPr="00911DF1">
        <w:rPr>
          <w:rFonts w:eastAsia="Times"/>
          <w:sz w:val="22"/>
        </w:rPr>
        <w:t xml:space="preserve"> a maximum allowable dollar amount (stated in terms of a percentage of the total project award amount) that it will reimburse for allowable, allocable, and reasonable indirect costs under the </w:t>
      </w:r>
      <w:r w:rsidR="006470B6">
        <w:rPr>
          <w:rFonts w:eastAsia="Times"/>
          <w:sz w:val="22"/>
        </w:rPr>
        <w:t xml:space="preserve">DOE </w:t>
      </w:r>
      <w:r w:rsidRPr="00911DF1">
        <w:rPr>
          <w:rFonts w:eastAsia="Times"/>
          <w:sz w:val="22"/>
        </w:rPr>
        <w:t xml:space="preserve">Awards. The percentage that will be reimbursable is inclusive of total indirect costs and fringe benefit costs. </w:t>
      </w:r>
    </w:p>
    <w:p w14:paraId="5A673946" w14:textId="2CF6560B" w:rsidR="00911DF1" w:rsidRPr="00911DF1" w:rsidRDefault="28C51B12" w:rsidP="00911DF1">
      <w:pPr>
        <w:spacing w:after="160" w:line="259" w:lineRule="auto"/>
      </w:pPr>
      <w:r w:rsidRPr="54F9DD04">
        <w:rPr>
          <w:rFonts w:eastAsia="Times"/>
          <w:sz w:val="22"/>
          <w:szCs w:val="22"/>
        </w:rPr>
        <w:t xml:space="preserve">Recipients should continue to utilize their negotiated and approved indirect cost rate(s) in applications for </w:t>
      </w:r>
      <w:r w:rsidR="2A420169" w:rsidRPr="54F9DD04">
        <w:rPr>
          <w:rFonts w:eastAsia="Times"/>
          <w:sz w:val="22"/>
          <w:szCs w:val="22"/>
        </w:rPr>
        <w:t xml:space="preserve">financial assistance </w:t>
      </w:r>
      <w:r w:rsidR="1A4E0B5F" w:rsidRPr="54F9DD04">
        <w:rPr>
          <w:rFonts w:eastAsia="Times"/>
          <w:sz w:val="22"/>
          <w:szCs w:val="22"/>
        </w:rPr>
        <w:t>a</w:t>
      </w:r>
      <w:r w:rsidRPr="54F9DD04">
        <w:rPr>
          <w:rFonts w:eastAsia="Times"/>
          <w:sz w:val="22"/>
          <w:szCs w:val="22"/>
        </w:rPr>
        <w:t xml:space="preserve">wards, but the Department established a maximum dollar amount that it will reimburse under </w:t>
      </w:r>
      <w:r w:rsidR="0AA7C2A5" w:rsidRPr="54F9DD04">
        <w:rPr>
          <w:rFonts w:eastAsia="Times"/>
          <w:sz w:val="22"/>
          <w:szCs w:val="22"/>
        </w:rPr>
        <w:t xml:space="preserve">the </w:t>
      </w:r>
      <w:r w:rsidR="0B219F90" w:rsidRPr="54F9DD04">
        <w:rPr>
          <w:rFonts w:eastAsia="Times"/>
          <w:sz w:val="22"/>
          <w:szCs w:val="22"/>
        </w:rPr>
        <w:t>a</w:t>
      </w:r>
      <w:r w:rsidRPr="54F9DD04">
        <w:rPr>
          <w:rFonts w:eastAsia="Times"/>
          <w:sz w:val="22"/>
          <w:szCs w:val="22"/>
        </w:rPr>
        <w:t>wards. The maximum limit of funds to be paid or reimbursed to a new</w:t>
      </w:r>
      <w:r w:rsidR="55A56983" w:rsidRPr="54F9DD04">
        <w:rPr>
          <w:rFonts w:eastAsia="Times"/>
          <w:sz w:val="22"/>
          <w:szCs w:val="22"/>
        </w:rPr>
        <w:t xml:space="preserve"> a</w:t>
      </w:r>
      <w:r w:rsidRPr="54F9DD04">
        <w:rPr>
          <w:rFonts w:eastAsia="Times"/>
          <w:sz w:val="22"/>
          <w:szCs w:val="22"/>
        </w:rPr>
        <w:t xml:space="preserve">ward as indirect costs will be calculated as a percentage of the total project award amount and will be included in the </w:t>
      </w:r>
      <w:r w:rsidR="3E0C3BEC" w:rsidRPr="54F9DD04">
        <w:rPr>
          <w:rFonts w:eastAsia="Times"/>
          <w:sz w:val="22"/>
          <w:szCs w:val="22"/>
        </w:rPr>
        <w:t>a</w:t>
      </w:r>
      <w:r w:rsidRPr="54F9DD04">
        <w:rPr>
          <w:rFonts w:eastAsia="Times"/>
          <w:sz w:val="22"/>
          <w:szCs w:val="22"/>
        </w:rPr>
        <w:t xml:space="preserve">ward terms as a cap. </w:t>
      </w:r>
      <w:hyperlink r:id="rId11" w:history="1">
        <w:r w:rsidRPr="006470B6">
          <w:rPr>
            <w:rStyle w:val="Hyperlink"/>
            <w:rFonts w:eastAsia="Times"/>
            <w:sz w:val="22"/>
            <w:szCs w:val="22"/>
          </w:rPr>
          <w:t>For for-profit organization</w:t>
        </w:r>
        <w:r w:rsidR="42FACAF2" w:rsidRPr="006470B6">
          <w:rPr>
            <w:rStyle w:val="Hyperlink"/>
            <w:rFonts w:eastAsia="Times"/>
            <w:sz w:val="22"/>
            <w:szCs w:val="22"/>
          </w:rPr>
          <w:t>s</w:t>
        </w:r>
        <w:r w:rsidRPr="006470B6">
          <w:rPr>
            <w:rStyle w:val="Hyperlink"/>
            <w:rFonts w:eastAsia="Times"/>
            <w:sz w:val="22"/>
            <w:szCs w:val="22"/>
          </w:rPr>
          <w:t>, this maximum percentage is fifteen percent (15%).</w:t>
        </w:r>
      </w:hyperlink>
      <w:r w:rsidRPr="54F9DD04">
        <w:rPr>
          <w:rFonts w:eastAsia="Times"/>
          <w:sz w:val="22"/>
          <w:szCs w:val="22"/>
        </w:rPr>
        <w:t xml:space="preserve"> </w:t>
      </w:r>
      <w:hyperlink r:id="rId12" w:history="1">
        <w:r w:rsidRPr="006470B6">
          <w:rPr>
            <w:rStyle w:val="Hyperlink"/>
            <w:rFonts w:eastAsia="Times"/>
            <w:sz w:val="22"/>
            <w:szCs w:val="22"/>
          </w:rPr>
          <w:t>For nonprofit organization</w:t>
        </w:r>
        <w:r w:rsidR="241B25B5" w:rsidRPr="006470B6">
          <w:rPr>
            <w:rStyle w:val="Hyperlink"/>
            <w:rFonts w:eastAsia="Times"/>
            <w:sz w:val="22"/>
            <w:szCs w:val="22"/>
          </w:rPr>
          <w:t>s</w:t>
        </w:r>
        <w:r w:rsidRPr="006470B6">
          <w:rPr>
            <w:rStyle w:val="Hyperlink"/>
            <w:rFonts w:eastAsia="Times"/>
            <w:sz w:val="22"/>
            <w:szCs w:val="22"/>
          </w:rPr>
          <w:t>, this maximum percentage is 15 percent (15%).</w:t>
        </w:r>
      </w:hyperlink>
      <w:r>
        <w:t xml:space="preserve"> </w:t>
      </w:r>
      <w:hyperlink r:id="rId13" w:history="1">
        <w:r w:rsidRPr="006470B6">
          <w:rPr>
            <w:rStyle w:val="Hyperlink"/>
            <w:rFonts w:eastAsia="Times"/>
            <w:sz w:val="22"/>
            <w:szCs w:val="22"/>
          </w:rPr>
          <w:t>For state and local government</w:t>
        </w:r>
        <w:r w:rsidR="64082A5D" w:rsidRPr="006470B6">
          <w:rPr>
            <w:rStyle w:val="Hyperlink"/>
            <w:rFonts w:eastAsia="Times"/>
            <w:sz w:val="22"/>
            <w:szCs w:val="22"/>
          </w:rPr>
          <w:t>s</w:t>
        </w:r>
        <w:r w:rsidRPr="006470B6">
          <w:rPr>
            <w:rStyle w:val="Hyperlink"/>
            <w:rFonts w:eastAsia="Times"/>
            <w:sz w:val="22"/>
            <w:szCs w:val="22"/>
          </w:rPr>
          <w:t>, this maximum percentage is 10 percent (10%).</w:t>
        </w:r>
      </w:hyperlink>
      <w:r w:rsidRPr="54F9DD04">
        <w:rPr>
          <w:rFonts w:eastAsia="Times"/>
          <w:sz w:val="22"/>
          <w:szCs w:val="22"/>
        </w:rPr>
        <w:t xml:space="preserve"> Tribal entities and Institutions of Higher Education (IHEs)/Universities are currently not impacted.    </w:t>
      </w:r>
    </w:p>
    <w:p w14:paraId="4F225EBA" w14:textId="69E71D5A" w:rsidR="00911DF1" w:rsidRPr="00911DF1" w:rsidRDefault="00911DF1" w:rsidP="00911DF1">
      <w:pPr>
        <w:spacing w:after="160" w:line="259" w:lineRule="auto"/>
        <w:rPr>
          <w:rFonts w:eastAsia="Times"/>
          <w:sz w:val="22"/>
        </w:rPr>
      </w:pPr>
      <w:r w:rsidRPr="00911DF1">
        <w:rPr>
          <w:rFonts w:eastAsia="Times"/>
          <w:sz w:val="22"/>
        </w:rPr>
        <w:t xml:space="preserve">All New Awards mandate that the Department limit the payment or reimbursement of all allowable, allocable, and reasonable indirect costs to </w:t>
      </w:r>
      <w:r w:rsidR="00C26DD3">
        <w:rPr>
          <w:rFonts w:eastAsia="Times"/>
          <w:sz w:val="22"/>
        </w:rPr>
        <w:t xml:space="preserve">the maximum percentages listed above.  </w:t>
      </w:r>
      <w:r w:rsidRPr="00911DF1">
        <w:rPr>
          <w:rFonts w:eastAsia="Times"/>
          <w:sz w:val="22"/>
        </w:rPr>
        <w:t>This policy will better balance the Department’s twin aims of funding meaningful financial assistance programs to stimulate a public purpose, such as improved infrastructure or technology deployment, and upholding its fiduciary Federal Stewardship obligations to the American people.</w:t>
      </w:r>
    </w:p>
    <w:p w14:paraId="433E19D4" w14:textId="7498D8D0" w:rsidR="00E238A9" w:rsidRDefault="00911DF1" w:rsidP="00911DF1">
      <w:pPr>
        <w:spacing w:after="160" w:line="259" w:lineRule="auto"/>
        <w:rPr>
          <w:rFonts w:eastAsia="Times"/>
          <w:sz w:val="22"/>
        </w:rPr>
      </w:pPr>
      <w:r w:rsidRPr="00911DF1">
        <w:rPr>
          <w:rFonts w:eastAsia="Times"/>
          <w:sz w:val="22"/>
        </w:rPr>
        <w:t xml:space="preserve">In circumstances where the Secretary has determined it is necessary and appropriate, the dollar threshold for payment of indirect costs may be modified for Award(s) to for-profit organizations that are subject to this policy. </w:t>
      </w:r>
      <w:r w:rsidR="00E238A9">
        <w:br w:type="page"/>
      </w:r>
    </w:p>
    <w:p w14:paraId="4F61DE65" w14:textId="0E46E5E6" w:rsidR="00E238A9" w:rsidRDefault="00E238A9" w:rsidP="006568A9">
      <w:pPr>
        <w:pStyle w:val="EEREHead02"/>
      </w:pPr>
      <w:bookmarkStart w:id="7" w:name="_Toc198636442"/>
      <w:r>
        <w:lastRenderedPageBreak/>
        <w:t>Frequently Asked Questions</w:t>
      </w:r>
      <w:bookmarkEnd w:id="7"/>
    </w:p>
    <w:p w14:paraId="789DA9CC" w14:textId="0D982D7C" w:rsidR="00E238A9" w:rsidRPr="00E47F5E" w:rsidRDefault="00E238A9" w:rsidP="005F1101">
      <w:pPr>
        <w:pStyle w:val="EEREQAtabbed-extra"/>
        <w:ind w:left="720" w:hanging="540"/>
        <w:rPr>
          <w:b/>
          <w:bCs/>
        </w:rPr>
      </w:pPr>
      <w:r w:rsidRPr="00E47F5E">
        <w:rPr>
          <w:b/>
          <w:bCs/>
        </w:rPr>
        <w:t>Q:</w:t>
      </w:r>
      <w:r w:rsidRPr="00E47F5E">
        <w:rPr>
          <w:b/>
          <w:bCs/>
        </w:rPr>
        <w:tab/>
        <w:t xml:space="preserve">What is </w:t>
      </w:r>
      <w:r w:rsidR="00C71745">
        <w:rPr>
          <w:b/>
          <w:bCs/>
        </w:rPr>
        <w:t>a percentage (%) cap against the Total Award</w:t>
      </w:r>
      <w:r w:rsidRPr="00E47F5E">
        <w:rPr>
          <w:b/>
          <w:bCs/>
        </w:rPr>
        <w:t>?</w:t>
      </w:r>
    </w:p>
    <w:p w14:paraId="1EBDB120" w14:textId="6E45FA17" w:rsidR="00E238A9" w:rsidRDefault="45978A33" w:rsidP="005F1101">
      <w:pPr>
        <w:pStyle w:val="EEREQAtabbedoption2"/>
        <w:ind w:left="720" w:hanging="540"/>
      </w:pPr>
      <w:r w:rsidRPr="54F9DD04">
        <w:rPr>
          <w:b/>
          <w:bCs/>
        </w:rPr>
        <w:t>A:</w:t>
      </w:r>
      <w:r w:rsidR="00E238A9">
        <w:tab/>
      </w:r>
      <w:r w:rsidR="0260EC31">
        <w:t xml:space="preserve">The percentage (%) cap is a maximum percentage of </w:t>
      </w:r>
      <w:r w:rsidR="7C642036">
        <w:t>indirect costs</w:t>
      </w:r>
      <w:r w:rsidR="0260EC31">
        <w:t xml:space="preserve"> which can be recovered on each DOE award</w:t>
      </w:r>
      <w:r w:rsidR="0D1CE8E6">
        <w:t>, which shall be expressed as a dollar amount in the Award Terms</w:t>
      </w:r>
      <w:r w:rsidR="00967897">
        <w:t>.</w:t>
      </w:r>
      <w:r w:rsidR="0260EC31">
        <w:t xml:space="preserve"> The percentage is calculated against </w:t>
      </w:r>
      <w:bookmarkStart w:id="8" w:name="_Hlk199847749"/>
      <w:r w:rsidR="0260EC31">
        <w:t xml:space="preserve">the Total Award </w:t>
      </w:r>
      <w:r w:rsidR="00954019">
        <w:t>Amount</w:t>
      </w:r>
      <w:r w:rsidR="0260EC31">
        <w:t xml:space="preserve"> (Federal </w:t>
      </w:r>
      <w:r w:rsidR="37EB1805">
        <w:t xml:space="preserve">amount </w:t>
      </w:r>
      <w:r w:rsidR="5D1D0D4A">
        <w:t>plus</w:t>
      </w:r>
      <w:r w:rsidR="0260EC31">
        <w:t xml:space="preserve"> </w:t>
      </w:r>
      <w:r w:rsidR="37EB1805">
        <w:t>required c</w:t>
      </w:r>
      <w:r w:rsidR="0260EC31">
        <w:t xml:space="preserve">ost </w:t>
      </w:r>
      <w:r w:rsidR="37EB1805">
        <w:t>s</w:t>
      </w:r>
      <w:r w:rsidR="0260EC31">
        <w:t>hare</w:t>
      </w:r>
      <w:bookmarkEnd w:id="8"/>
      <w:r w:rsidR="0260EC31">
        <w:t xml:space="preserve">).  See </w:t>
      </w:r>
      <w:hyperlink w:anchor="CalculationExamples" w:history="1">
        <w:r w:rsidR="006470B6">
          <w:rPr>
            <w:rStyle w:val="Hyperlink"/>
          </w:rPr>
          <w:t xml:space="preserve">narrative and </w:t>
        </w:r>
        <w:r w:rsidR="006470B6" w:rsidRPr="006470B6">
          <w:rPr>
            <w:rStyle w:val="Hyperlink"/>
          </w:rPr>
          <w:t xml:space="preserve">examples </w:t>
        </w:r>
        <w:r w:rsidR="0A6C15FB" w:rsidRPr="54F9DD04">
          <w:rPr>
            <w:rStyle w:val="Hyperlink"/>
          </w:rPr>
          <w:t>calculations</w:t>
        </w:r>
      </w:hyperlink>
      <w:r w:rsidR="0A6C15FB">
        <w:t xml:space="preserve"> below</w:t>
      </w:r>
      <w:r w:rsidR="0260EC31">
        <w:t>.</w:t>
      </w:r>
    </w:p>
    <w:p w14:paraId="6E40EBCB" w14:textId="762E0E9A" w:rsidR="00E238A9" w:rsidRPr="00E47F5E" w:rsidRDefault="00E238A9" w:rsidP="005F1101">
      <w:pPr>
        <w:pStyle w:val="EEREQAtabbed-extra"/>
        <w:ind w:left="720" w:hanging="540"/>
        <w:rPr>
          <w:b/>
          <w:bCs/>
        </w:rPr>
      </w:pPr>
      <w:r w:rsidRPr="00E47F5E">
        <w:rPr>
          <w:b/>
          <w:bCs/>
        </w:rPr>
        <w:t>Q:</w:t>
      </w:r>
      <w:r w:rsidRPr="00E47F5E">
        <w:rPr>
          <w:b/>
          <w:bCs/>
        </w:rPr>
        <w:tab/>
      </w:r>
      <w:r w:rsidR="00C71745" w:rsidRPr="00C71745">
        <w:rPr>
          <w:b/>
          <w:bCs/>
        </w:rPr>
        <w:t>Why was this percentage cap created?</w:t>
      </w:r>
    </w:p>
    <w:p w14:paraId="0A7AE15C" w14:textId="77777777" w:rsidR="00646998" w:rsidRDefault="00E238A9" w:rsidP="00646998">
      <w:pPr>
        <w:pStyle w:val="EEREQAtabbedoption2"/>
        <w:ind w:left="720" w:hanging="540"/>
      </w:pPr>
      <w:r w:rsidRPr="00E47F5E">
        <w:rPr>
          <w:b/>
          <w:bCs/>
        </w:rPr>
        <w:t>A:</w:t>
      </w:r>
      <w:r>
        <w:tab/>
      </w:r>
      <w:r w:rsidR="00C26DD3">
        <w:t>L</w:t>
      </w:r>
      <w:r w:rsidR="00C26DD3" w:rsidRPr="00C26DD3">
        <w:t>imiting the percentage of total indirect cost</w:t>
      </w:r>
      <w:r w:rsidR="00C26DD3">
        <w:t xml:space="preserve"> recovery</w:t>
      </w:r>
      <w:r w:rsidR="00C26DD3" w:rsidRPr="00C26DD3">
        <w:t xml:space="preserve"> ensure</w:t>
      </w:r>
      <w:r w:rsidR="00C26DD3">
        <w:t>s</w:t>
      </w:r>
      <w:r w:rsidR="00C26DD3" w:rsidRPr="00C26DD3">
        <w:t xml:space="preserve"> taxpayer funds are fully utilized to meet Department objectives while concurrently providing </w:t>
      </w:r>
      <w:r w:rsidR="00E33096" w:rsidRPr="00C26DD3">
        <w:t>recipients with</w:t>
      </w:r>
      <w:r w:rsidR="00C26DD3" w:rsidRPr="00C26DD3">
        <w:t xml:space="preserve"> a fair and reasonable indirect cost recovery amount to only pay for essential items not directly supporting the federal award. </w:t>
      </w:r>
      <w:r>
        <w:t xml:space="preserve"> </w:t>
      </w:r>
    </w:p>
    <w:p w14:paraId="27243089" w14:textId="77777777" w:rsidR="00646998" w:rsidRPr="003F1BCA" w:rsidRDefault="00646998" w:rsidP="00646998">
      <w:pPr>
        <w:pStyle w:val="EEREQAtabbed-extra"/>
        <w:ind w:left="720" w:hanging="540"/>
        <w:rPr>
          <w:b/>
          <w:bCs/>
        </w:rPr>
      </w:pPr>
      <w:r w:rsidRPr="003F1BCA">
        <w:rPr>
          <w:b/>
          <w:bCs/>
        </w:rPr>
        <w:t>Q:</w:t>
      </w:r>
      <w:r w:rsidRPr="003F1BCA">
        <w:rPr>
          <w:b/>
          <w:bCs/>
        </w:rPr>
        <w:tab/>
      </w:r>
      <w:r w:rsidRPr="001C62C7">
        <w:rPr>
          <w:b/>
          <w:bCs/>
        </w:rPr>
        <w:t xml:space="preserve">What is the difference between a cap on an indirect </w:t>
      </w:r>
      <w:r w:rsidRPr="00024DA0">
        <w:rPr>
          <w:b/>
          <w:bCs/>
          <w:u w:val="single"/>
        </w:rPr>
        <w:t>rate</w:t>
      </w:r>
      <w:r w:rsidRPr="001C62C7">
        <w:rPr>
          <w:b/>
          <w:bCs/>
        </w:rPr>
        <w:t xml:space="preserve"> and a cap on indirect </w:t>
      </w:r>
      <w:r w:rsidRPr="00024DA0">
        <w:rPr>
          <w:b/>
          <w:bCs/>
          <w:u w:val="single"/>
        </w:rPr>
        <w:t>cost</w:t>
      </w:r>
      <w:r w:rsidRPr="001C62C7">
        <w:rPr>
          <w:b/>
          <w:bCs/>
        </w:rPr>
        <w:t xml:space="preserve"> percentage of the total award</w:t>
      </w:r>
      <w:r w:rsidRPr="003F1BCA">
        <w:rPr>
          <w:b/>
          <w:bCs/>
        </w:rPr>
        <w:t xml:space="preserve">?  </w:t>
      </w:r>
    </w:p>
    <w:p w14:paraId="4BA2BC69" w14:textId="73725B9F" w:rsidR="00E238A9" w:rsidRDefault="00646998" w:rsidP="005F1101">
      <w:pPr>
        <w:pStyle w:val="EEREQAtabbedoption2"/>
        <w:ind w:left="720" w:hanging="540"/>
      </w:pPr>
      <w:r w:rsidRPr="003F1BCA">
        <w:rPr>
          <w:b/>
          <w:bCs/>
        </w:rPr>
        <w:t>A:</w:t>
      </w:r>
      <w:r>
        <w:tab/>
      </w:r>
      <w:r w:rsidRPr="001C62C7">
        <w:t xml:space="preserve">A cap on an indirect rate means the organization cannot bill more than a specified indirect billing </w:t>
      </w:r>
      <w:r w:rsidRPr="001C62C7">
        <w:rPr>
          <w:i/>
          <w:iCs/>
        </w:rPr>
        <w:t>rate</w:t>
      </w:r>
      <w:r>
        <w:rPr>
          <w:i/>
          <w:iCs/>
        </w:rPr>
        <w:t xml:space="preserve"> </w:t>
      </w:r>
      <w:r w:rsidRPr="00C57C5C">
        <w:t xml:space="preserve">against </w:t>
      </w:r>
      <w:r w:rsidR="00B90891">
        <w:t xml:space="preserve">the allocable cost </w:t>
      </w:r>
      <w:r w:rsidRPr="00C57C5C">
        <w:t>base</w:t>
      </w:r>
      <w:r w:rsidRPr="001C62C7">
        <w:t xml:space="preserve">.  A cap on the indirect cost percentage (%) of the total award means the Recipient shall utilize </w:t>
      </w:r>
      <w:r>
        <w:t>an</w:t>
      </w:r>
      <w:r w:rsidRPr="001C62C7">
        <w:t xml:space="preserve"> approved rate, but the resulting </w:t>
      </w:r>
      <w:r w:rsidR="00EE2D04">
        <w:t xml:space="preserve">reimbursable </w:t>
      </w:r>
      <w:r w:rsidRPr="001C62C7">
        <w:rPr>
          <w:i/>
          <w:iCs/>
        </w:rPr>
        <w:t>costs</w:t>
      </w:r>
      <w:r w:rsidRPr="001C62C7">
        <w:t xml:space="preserve"> for fringe and indirect costs cannot exceed the percentage cap (e.g. 10% or 15%</w:t>
      </w:r>
      <w:r>
        <w:t>)</w:t>
      </w:r>
      <w:r w:rsidRPr="001C62C7">
        <w:t xml:space="preserve"> of the total award value</w:t>
      </w:r>
      <w:r>
        <w:t>.  See calculation examples.</w:t>
      </w:r>
    </w:p>
    <w:p w14:paraId="17A3ACE7" w14:textId="117EE535" w:rsidR="00E238A9" w:rsidRPr="00E47F5E" w:rsidRDefault="00E238A9" w:rsidP="005F1101">
      <w:pPr>
        <w:pStyle w:val="EEREQAtabbed-extra"/>
        <w:ind w:left="720" w:hanging="540"/>
        <w:rPr>
          <w:b/>
          <w:bCs/>
        </w:rPr>
      </w:pPr>
      <w:r w:rsidRPr="00E47F5E">
        <w:rPr>
          <w:b/>
          <w:bCs/>
        </w:rPr>
        <w:t>Q:</w:t>
      </w:r>
      <w:r w:rsidRPr="00E47F5E">
        <w:rPr>
          <w:b/>
          <w:bCs/>
        </w:rPr>
        <w:tab/>
      </w:r>
      <w:r w:rsidR="00C71745" w:rsidRPr="00C71745">
        <w:rPr>
          <w:b/>
          <w:bCs/>
        </w:rPr>
        <w:t xml:space="preserve">Which organizations are impacted by </w:t>
      </w:r>
      <w:r w:rsidR="00C71745">
        <w:rPr>
          <w:b/>
          <w:bCs/>
        </w:rPr>
        <w:t>indirect cost</w:t>
      </w:r>
      <w:r w:rsidR="00C71745" w:rsidRPr="00C71745">
        <w:rPr>
          <w:b/>
          <w:bCs/>
        </w:rPr>
        <w:t xml:space="preserve"> percentage cap</w:t>
      </w:r>
      <w:r w:rsidR="00C71745">
        <w:rPr>
          <w:b/>
          <w:bCs/>
        </w:rPr>
        <w:t>s</w:t>
      </w:r>
      <w:r w:rsidR="00C71745" w:rsidRPr="00C71745">
        <w:rPr>
          <w:b/>
          <w:bCs/>
        </w:rPr>
        <w:t>?</w:t>
      </w:r>
    </w:p>
    <w:p w14:paraId="7D2CDEB3" w14:textId="23BDBDA9" w:rsidR="00E238A9" w:rsidRDefault="00E238A9" w:rsidP="005F1101">
      <w:pPr>
        <w:pStyle w:val="EEREQAtabbedoption2"/>
        <w:ind w:left="720" w:hanging="540"/>
      </w:pPr>
      <w:r w:rsidRPr="00E47F5E">
        <w:rPr>
          <w:b/>
          <w:bCs/>
        </w:rPr>
        <w:t>A:</w:t>
      </w:r>
      <w:r>
        <w:tab/>
      </w:r>
      <w:r w:rsidR="00C71745">
        <w:t>All For-Profit, Nonprofit, and State and Local Government Recipients and Subrecipients are to follow the applicable percentage caps.</w:t>
      </w:r>
    </w:p>
    <w:p w14:paraId="67DC536F" w14:textId="1F9F3C49" w:rsidR="00E238A9" w:rsidRPr="00E47F5E" w:rsidRDefault="00E238A9" w:rsidP="005F1101">
      <w:pPr>
        <w:pStyle w:val="EEREQAtabbed-extra"/>
        <w:ind w:left="720" w:hanging="540"/>
        <w:rPr>
          <w:b/>
          <w:bCs/>
        </w:rPr>
      </w:pPr>
      <w:r w:rsidRPr="00E47F5E">
        <w:rPr>
          <w:b/>
          <w:bCs/>
        </w:rPr>
        <w:t>Q:</w:t>
      </w:r>
      <w:r w:rsidRPr="00E47F5E">
        <w:rPr>
          <w:b/>
          <w:bCs/>
        </w:rPr>
        <w:tab/>
        <w:t xml:space="preserve">Are there any organizations </w:t>
      </w:r>
      <w:r w:rsidR="008D18F6" w:rsidRPr="00E47F5E">
        <w:rPr>
          <w:b/>
          <w:bCs/>
        </w:rPr>
        <w:t xml:space="preserve">excluded </w:t>
      </w:r>
      <w:r w:rsidR="00E33096">
        <w:rPr>
          <w:b/>
          <w:bCs/>
        </w:rPr>
        <w:t>from</w:t>
      </w:r>
      <w:r w:rsidR="00C71745">
        <w:rPr>
          <w:b/>
          <w:bCs/>
        </w:rPr>
        <w:t xml:space="preserve"> the indirect cost percentage caps?</w:t>
      </w:r>
    </w:p>
    <w:p w14:paraId="0089EBFC" w14:textId="1AC2DCF3" w:rsidR="00E238A9" w:rsidRDefault="00E238A9" w:rsidP="005F1101">
      <w:pPr>
        <w:pStyle w:val="EEREQAtabbedoption2"/>
        <w:ind w:left="720" w:hanging="540"/>
      </w:pPr>
      <w:r w:rsidRPr="00E47F5E">
        <w:rPr>
          <w:b/>
          <w:bCs/>
        </w:rPr>
        <w:t>A:</w:t>
      </w:r>
      <w:r>
        <w:tab/>
      </w:r>
      <w:r w:rsidR="00C71745">
        <w:t>Currently, Institutes of Higher Education (IHEs) and Tribal organizations are excluded from any listed percentage caps.</w:t>
      </w:r>
      <w:r>
        <w:t xml:space="preserve"> </w:t>
      </w:r>
    </w:p>
    <w:p w14:paraId="462ED712" w14:textId="091AC631" w:rsidR="00E238A9" w:rsidRPr="00E47F5E" w:rsidRDefault="00E238A9" w:rsidP="005F1101">
      <w:pPr>
        <w:pStyle w:val="EEREQAtabbed-extra"/>
        <w:ind w:left="720" w:hanging="540"/>
        <w:rPr>
          <w:b/>
          <w:bCs/>
        </w:rPr>
      </w:pPr>
      <w:r w:rsidRPr="00E47F5E">
        <w:rPr>
          <w:b/>
          <w:bCs/>
        </w:rPr>
        <w:t>Q:</w:t>
      </w:r>
      <w:r w:rsidRPr="00E47F5E">
        <w:rPr>
          <w:b/>
          <w:bCs/>
        </w:rPr>
        <w:tab/>
      </w:r>
      <w:r w:rsidR="00C71745">
        <w:rPr>
          <w:b/>
          <w:bCs/>
        </w:rPr>
        <w:t>What are the percentage caps</w:t>
      </w:r>
      <w:r w:rsidRPr="00E47F5E">
        <w:rPr>
          <w:b/>
          <w:bCs/>
        </w:rPr>
        <w:t xml:space="preserve">?  </w:t>
      </w:r>
    </w:p>
    <w:p w14:paraId="748D5969" w14:textId="7D2130E0" w:rsidR="002B01A3" w:rsidRDefault="45978A33" w:rsidP="002B01A3">
      <w:pPr>
        <w:pStyle w:val="EEREQAtabbedoption2"/>
        <w:ind w:left="720" w:hanging="540"/>
      </w:pPr>
      <w:r w:rsidRPr="54F9DD04">
        <w:rPr>
          <w:b/>
          <w:bCs/>
        </w:rPr>
        <w:t>A:</w:t>
      </w:r>
      <w:r w:rsidR="00E238A9">
        <w:tab/>
      </w:r>
      <w:r w:rsidR="71ACCCFF">
        <w:t xml:space="preserve">For-profit and </w:t>
      </w:r>
      <w:r w:rsidR="5D1D0D4A">
        <w:t>N</w:t>
      </w:r>
      <w:r w:rsidR="71ACCCFF">
        <w:t xml:space="preserve">onprofit organizations are </w:t>
      </w:r>
      <w:r w:rsidR="2831322F">
        <w:t xml:space="preserve">subject to </w:t>
      </w:r>
      <w:r w:rsidR="6E822962">
        <w:t>a</w:t>
      </w:r>
      <w:r w:rsidR="71ACCCFF">
        <w:t xml:space="preserve">15% cap </w:t>
      </w:r>
      <w:r w:rsidR="38370AE4">
        <w:t xml:space="preserve">based on the </w:t>
      </w:r>
      <w:r w:rsidR="71ACCCFF">
        <w:t xml:space="preserve">total award and State and Local Governments are </w:t>
      </w:r>
      <w:r w:rsidR="2831322F">
        <w:t xml:space="preserve">subject to </w:t>
      </w:r>
      <w:r w:rsidR="3325B2B8">
        <w:t>a</w:t>
      </w:r>
      <w:r w:rsidR="71ACCCFF">
        <w:t xml:space="preserve">10% cap </w:t>
      </w:r>
      <w:r w:rsidR="38370AE4">
        <w:t xml:space="preserve">based on </w:t>
      </w:r>
      <w:r w:rsidR="71ACCCFF">
        <w:t>the total award.</w:t>
      </w:r>
    </w:p>
    <w:p w14:paraId="6DAC17A3" w14:textId="1C0B6841" w:rsidR="002B01A3" w:rsidRPr="00E47F5E" w:rsidRDefault="002B01A3" w:rsidP="002B01A3">
      <w:pPr>
        <w:pStyle w:val="EEREQAtabbed-extra"/>
        <w:ind w:left="720" w:hanging="540"/>
        <w:rPr>
          <w:b/>
          <w:bCs/>
        </w:rPr>
      </w:pPr>
      <w:r w:rsidRPr="00E47F5E">
        <w:rPr>
          <w:b/>
          <w:bCs/>
        </w:rPr>
        <w:t>Q:</w:t>
      </w:r>
      <w:r w:rsidRPr="00E47F5E">
        <w:rPr>
          <w:b/>
          <w:bCs/>
        </w:rPr>
        <w:tab/>
      </w:r>
      <w:r>
        <w:rPr>
          <w:b/>
          <w:bCs/>
        </w:rPr>
        <w:t>Why are State and Local Governments 10% and not 15%</w:t>
      </w:r>
      <w:r w:rsidRPr="00E47F5E">
        <w:rPr>
          <w:b/>
          <w:bCs/>
        </w:rPr>
        <w:t xml:space="preserve">?  </w:t>
      </w:r>
    </w:p>
    <w:p w14:paraId="2079B1E9" w14:textId="0D8FD160" w:rsidR="00967897" w:rsidRDefault="002B01A3" w:rsidP="005F1101">
      <w:pPr>
        <w:pStyle w:val="EEREQAtabbedoption2"/>
        <w:ind w:left="720" w:hanging="540"/>
      </w:pPr>
      <w:r w:rsidRPr="00E47F5E">
        <w:rPr>
          <w:b/>
          <w:bCs/>
        </w:rPr>
        <w:t>A:</w:t>
      </w:r>
      <w:r w:rsidRPr="00E47F5E">
        <w:rPr>
          <w:b/>
          <w:bCs/>
        </w:rPr>
        <w:tab/>
      </w:r>
      <w:r w:rsidRPr="002B01A3">
        <w:t xml:space="preserve">State </w:t>
      </w:r>
      <w:r>
        <w:t>and</w:t>
      </w:r>
      <w:r w:rsidRPr="002B01A3">
        <w:t xml:space="preserve"> Local </w:t>
      </w:r>
      <w:r>
        <w:t>G</w:t>
      </w:r>
      <w:r w:rsidRPr="002B01A3">
        <w:t xml:space="preserve">overnments generally </w:t>
      </w:r>
      <w:r>
        <w:t>incur lower</w:t>
      </w:r>
      <w:r w:rsidRPr="002B01A3">
        <w:t xml:space="preserve"> indirect cost allocation</w:t>
      </w:r>
      <w:r w:rsidR="00533352">
        <w:t>s</w:t>
      </w:r>
      <w:r w:rsidRPr="002B01A3">
        <w:t xml:space="preserve"> </w:t>
      </w:r>
      <w:r>
        <w:t xml:space="preserve">due to shared infrastructure and centralized administrative systems.  A trend analysis conducted </w:t>
      </w:r>
      <w:r w:rsidR="00533352">
        <w:t>using</w:t>
      </w:r>
      <w:r>
        <w:t xml:space="preserve"> nearly a decade of data reflected State and Local </w:t>
      </w:r>
      <w:r w:rsidR="00533352">
        <w:t>entities</w:t>
      </w:r>
      <w:r>
        <w:t xml:space="preserve"> incurred an average of 5% to 7% less</w:t>
      </w:r>
      <w:r w:rsidR="00533352">
        <w:t xml:space="preserve"> in</w:t>
      </w:r>
      <w:r>
        <w:t xml:space="preserve"> indirect cost recovery than other entity-types. </w:t>
      </w:r>
      <w:r w:rsidRPr="00C71745">
        <w:t xml:space="preserve"> </w:t>
      </w:r>
    </w:p>
    <w:p w14:paraId="3A1A34A1" w14:textId="77777777" w:rsidR="00967897" w:rsidRDefault="00967897" w:rsidP="005F1101">
      <w:pPr>
        <w:pStyle w:val="EEREQAtabbed-extra"/>
        <w:ind w:left="720" w:hanging="540"/>
        <w:rPr>
          <w:b/>
          <w:bCs/>
        </w:rPr>
      </w:pPr>
    </w:p>
    <w:p w14:paraId="2B2248C5" w14:textId="17495145" w:rsidR="00E238A9" w:rsidRPr="00E47F5E" w:rsidRDefault="00E238A9" w:rsidP="005F1101">
      <w:pPr>
        <w:pStyle w:val="EEREQAtabbed-extra"/>
        <w:ind w:left="720" w:hanging="540"/>
        <w:rPr>
          <w:b/>
          <w:bCs/>
        </w:rPr>
      </w:pPr>
      <w:r w:rsidRPr="00E47F5E">
        <w:rPr>
          <w:b/>
          <w:bCs/>
        </w:rPr>
        <w:lastRenderedPageBreak/>
        <w:t>Q:</w:t>
      </w:r>
      <w:r w:rsidRPr="00E47F5E">
        <w:rPr>
          <w:b/>
          <w:bCs/>
        </w:rPr>
        <w:tab/>
      </w:r>
      <w:r w:rsidR="00C71745">
        <w:rPr>
          <w:rFonts w:eastAsiaTheme="minorHAnsi"/>
          <w:b/>
          <w:spacing w:val="-1"/>
        </w:rPr>
        <w:t>Does this percentage cap impact my current award</w:t>
      </w:r>
      <w:r w:rsidRPr="00E47F5E">
        <w:rPr>
          <w:b/>
          <w:bCs/>
        </w:rPr>
        <w:t xml:space="preserve">?  </w:t>
      </w:r>
    </w:p>
    <w:p w14:paraId="282C1846" w14:textId="07455089" w:rsidR="00E238A9" w:rsidRDefault="00E238A9" w:rsidP="005F1101">
      <w:pPr>
        <w:pStyle w:val="EEREQAtabbedoption2"/>
        <w:ind w:left="720" w:hanging="540"/>
      </w:pPr>
      <w:r w:rsidRPr="6724D6CD">
        <w:rPr>
          <w:b/>
          <w:bCs/>
        </w:rPr>
        <w:t>A:</w:t>
      </w:r>
      <w:r>
        <w:tab/>
      </w:r>
      <w:r w:rsidR="00C71745">
        <w:t xml:space="preserve">No. The percentage cap is prospective, not retroactive.  </w:t>
      </w:r>
      <w:r w:rsidR="00444F6D">
        <w:t>If a</w:t>
      </w:r>
      <w:r w:rsidR="00E70E70">
        <w:t xml:space="preserve"> new</w:t>
      </w:r>
      <w:r w:rsidR="00444F6D">
        <w:t xml:space="preserve"> award</w:t>
      </w:r>
      <w:r w:rsidR="00CB3D35">
        <w:t xml:space="preserve"> </w:t>
      </w:r>
      <w:r w:rsidR="00444F6D">
        <w:t xml:space="preserve">is made </w:t>
      </w:r>
      <w:r w:rsidR="00E70E70">
        <w:t xml:space="preserve">on or </w:t>
      </w:r>
      <w:r w:rsidR="00444F6D">
        <w:t xml:space="preserve">after May </w:t>
      </w:r>
      <w:r w:rsidR="00E70E70">
        <w:t>9</w:t>
      </w:r>
      <w:r w:rsidR="00444F6D">
        <w:t>, 2025,</w:t>
      </w:r>
      <w:r w:rsidR="00E70E70">
        <w:t xml:space="preserve"> </w:t>
      </w:r>
      <w:r w:rsidR="00444F6D">
        <w:t>the percentage cap will apply.</w:t>
      </w:r>
      <w:r w:rsidR="009F4944">
        <w:t xml:space="preserve"> </w:t>
      </w:r>
      <w:r w:rsidR="00E70E70">
        <w:t>If a current award is fully conditioned (funds were obligated, however the award was not negotiated or executed to start), the percentage cap will apply if the award conditions are lifted on or after May 9, 2025.</w:t>
      </w:r>
      <w:r w:rsidR="00CB3D35">
        <w:t xml:space="preserve">  </w:t>
      </w:r>
    </w:p>
    <w:p w14:paraId="3EAC0873" w14:textId="254E2F97" w:rsidR="00E238A9" w:rsidRPr="00E47F5E" w:rsidRDefault="00533352" w:rsidP="005F1101">
      <w:pPr>
        <w:pStyle w:val="EEREQAtabbed-extra"/>
        <w:ind w:left="720" w:hanging="540"/>
        <w:rPr>
          <w:b/>
          <w:bCs/>
        </w:rPr>
      </w:pPr>
      <w:r>
        <w:rPr>
          <w:b/>
          <w:bCs/>
        </w:rPr>
        <w:t>Q:</w:t>
      </w:r>
      <w:r>
        <w:rPr>
          <w:b/>
          <w:bCs/>
        </w:rPr>
        <w:tab/>
      </w:r>
      <w:r w:rsidR="00E238A9" w:rsidRPr="00E47F5E">
        <w:rPr>
          <w:b/>
          <w:bCs/>
        </w:rPr>
        <w:t xml:space="preserve">Must the </w:t>
      </w:r>
      <w:r w:rsidR="00C71745">
        <w:rPr>
          <w:b/>
          <w:bCs/>
        </w:rPr>
        <w:t>full percentage cap</w:t>
      </w:r>
      <w:r w:rsidR="00E238A9" w:rsidRPr="00E47F5E">
        <w:rPr>
          <w:b/>
          <w:bCs/>
        </w:rPr>
        <w:t xml:space="preserve"> be utilized?  </w:t>
      </w:r>
    </w:p>
    <w:p w14:paraId="200E5839" w14:textId="397CFF32" w:rsidR="00954019" w:rsidRDefault="00E238A9" w:rsidP="00954019">
      <w:pPr>
        <w:pStyle w:val="EEREQAtabbedoption2"/>
        <w:ind w:left="720" w:hanging="540"/>
      </w:pPr>
      <w:r w:rsidRPr="6724D6CD">
        <w:rPr>
          <w:b/>
          <w:bCs/>
        </w:rPr>
        <w:t>A:</w:t>
      </w:r>
      <w:r>
        <w:tab/>
      </w:r>
      <w:r w:rsidR="00C71745">
        <w:t xml:space="preserve">No.  </w:t>
      </w:r>
      <w:r w:rsidR="00223F90">
        <w:t>If a</w:t>
      </w:r>
      <w:r>
        <w:t>n organization</w:t>
      </w:r>
      <w:r w:rsidR="00C71745">
        <w:t xml:space="preserve"> </w:t>
      </w:r>
      <w:r w:rsidR="00223F90">
        <w:t xml:space="preserve">is </w:t>
      </w:r>
      <w:r w:rsidR="00024DA0">
        <w:t xml:space="preserve">utilizing indirect rates (from a </w:t>
      </w:r>
      <w:r w:rsidR="69FD61B2">
        <w:t>rate agreement</w:t>
      </w:r>
      <w:r w:rsidR="00024DA0">
        <w:t xml:space="preserve">, </w:t>
      </w:r>
      <w:r w:rsidR="409B60D1">
        <w:t>rate proposal</w:t>
      </w:r>
      <w:r w:rsidR="00024DA0">
        <w:t>, or de minimis</w:t>
      </w:r>
      <w:r w:rsidR="720C60D4">
        <w:t xml:space="preserve"> election</w:t>
      </w:r>
      <w:r w:rsidR="00024DA0">
        <w:t>)</w:t>
      </w:r>
      <w:r w:rsidR="00223F90">
        <w:t xml:space="preserve"> and the resulting </w:t>
      </w:r>
      <w:r w:rsidR="001C62C7">
        <w:t xml:space="preserve">fringe and indirect </w:t>
      </w:r>
      <w:r w:rsidR="00223F90">
        <w:t>costs are less than the full percentage cap, indirect costs should not be increased to meet the full cap.</w:t>
      </w:r>
      <w:r w:rsidR="00C71745">
        <w:t xml:space="preserve"> </w:t>
      </w:r>
    </w:p>
    <w:p w14:paraId="615B5427" w14:textId="4BE144CE" w:rsidR="00954019" w:rsidRPr="00E47F5E" w:rsidRDefault="00954019" w:rsidP="00954019">
      <w:pPr>
        <w:pStyle w:val="EEREQAtabbed-extra"/>
        <w:ind w:left="720" w:hanging="540"/>
        <w:rPr>
          <w:b/>
          <w:bCs/>
        </w:rPr>
      </w:pPr>
      <w:r w:rsidRPr="00E47F5E">
        <w:rPr>
          <w:b/>
          <w:bCs/>
        </w:rPr>
        <w:t>Q:</w:t>
      </w:r>
      <w:r w:rsidRPr="00E47F5E">
        <w:rPr>
          <w:b/>
          <w:bCs/>
        </w:rPr>
        <w:tab/>
      </w:r>
      <w:r>
        <w:rPr>
          <w:b/>
          <w:bCs/>
        </w:rPr>
        <w:t>Are FFRDCs included in the Total Award Amount</w:t>
      </w:r>
      <w:r w:rsidRPr="00E47F5E">
        <w:rPr>
          <w:b/>
          <w:bCs/>
        </w:rPr>
        <w:t xml:space="preserve">?  </w:t>
      </w:r>
    </w:p>
    <w:p w14:paraId="07B84705" w14:textId="44ADA4F6" w:rsidR="00954019" w:rsidRDefault="00954019" w:rsidP="00954019">
      <w:pPr>
        <w:pStyle w:val="EEREQAtabbedoption2"/>
        <w:ind w:left="720" w:hanging="540"/>
      </w:pPr>
      <w:r w:rsidRPr="00E47F5E">
        <w:rPr>
          <w:b/>
          <w:bCs/>
        </w:rPr>
        <w:t>A:</w:t>
      </w:r>
      <w:r>
        <w:tab/>
        <w:t xml:space="preserve">Yes.  FFRDCs are included in the Total Award Amount. </w:t>
      </w:r>
    </w:p>
    <w:p w14:paraId="2CE4FA74" w14:textId="5DD124BE" w:rsidR="00E238A9" w:rsidRPr="00E47F5E" w:rsidRDefault="00E238A9" w:rsidP="005F1101">
      <w:pPr>
        <w:pStyle w:val="EEREQAtabbed-extra"/>
        <w:ind w:left="720" w:hanging="540"/>
        <w:rPr>
          <w:b/>
          <w:bCs/>
        </w:rPr>
      </w:pPr>
      <w:r w:rsidRPr="00E47F5E">
        <w:rPr>
          <w:b/>
          <w:bCs/>
        </w:rPr>
        <w:t>Q:</w:t>
      </w:r>
      <w:r w:rsidRPr="00E47F5E">
        <w:rPr>
          <w:b/>
          <w:bCs/>
        </w:rPr>
        <w:tab/>
      </w:r>
      <w:r w:rsidR="00C71745">
        <w:rPr>
          <w:b/>
          <w:bCs/>
        </w:rPr>
        <w:t>Are fringe costs part of the percentage cap</w:t>
      </w:r>
      <w:r w:rsidRPr="00E47F5E">
        <w:rPr>
          <w:b/>
          <w:bCs/>
        </w:rPr>
        <w:t xml:space="preserve">?  </w:t>
      </w:r>
    </w:p>
    <w:p w14:paraId="040E1B77" w14:textId="147E5056" w:rsidR="00D627D4" w:rsidRDefault="00E238A9" w:rsidP="00E534F7">
      <w:pPr>
        <w:pStyle w:val="EEREQAtabbedoption2"/>
        <w:ind w:left="720" w:hanging="540"/>
      </w:pPr>
      <w:r w:rsidRPr="00E47F5E">
        <w:rPr>
          <w:b/>
          <w:bCs/>
        </w:rPr>
        <w:t>A:</w:t>
      </w:r>
      <w:r>
        <w:tab/>
      </w:r>
      <w:r w:rsidR="00C71745">
        <w:t>Yes.  The percentage cap includes fringe and indirect costs.</w:t>
      </w:r>
      <w:r w:rsidR="00E534F7">
        <w:t xml:space="preserve"> </w:t>
      </w:r>
    </w:p>
    <w:p w14:paraId="2C405768" w14:textId="403B1F3B" w:rsidR="00D627D4" w:rsidRPr="003F1BCA" w:rsidRDefault="00D627D4" w:rsidP="00D627D4">
      <w:pPr>
        <w:pStyle w:val="EEREQAtabbed-extra"/>
        <w:ind w:left="720" w:hanging="540"/>
        <w:rPr>
          <w:b/>
          <w:bCs/>
        </w:rPr>
      </w:pPr>
      <w:r w:rsidRPr="003F1BCA">
        <w:rPr>
          <w:b/>
          <w:bCs/>
        </w:rPr>
        <w:t>Q:</w:t>
      </w:r>
      <w:r w:rsidRPr="003F1BCA">
        <w:rPr>
          <w:b/>
          <w:bCs/>
        </w:rPr>
        <w:tab/>
      </w:r>
      <w:r>
        <w:rPr>
          <w:b/>
          <w:bCs/>
        </w:rPr>
        <w:t>Can our organization utilize indirect cost amounts over the cap as cost share</w:t>
      </w:r>
      <w:r w:rsidRPr="003F1BCA">
        <w:rPr>
          <w:b/>
          <w:bCs/>
        </w:rPr>
        <w:t xml:space="preserve">?  </w:t>
      </w:r>
    </w:p>
    <w:p w14:paraId="1EC1D187" w14:textId="77777777" w:rsidR="00E534F7" w:rsidRDefault="00D627D4" w:rsidP="00E534F7">
      <w:pPr>
        <w:pStyle w:val="EEREQAtabbedoption2"/>
        <w:ind w:left="720" w:hanging="540"/>
      </w:pPr>
      <w:r w:rsidRPr="003F1BCA">
        <w:rPr>
          <w:b/>
          <w:bCs/>
        </w:rPr>
        <w:t>A:</w:t>
      </w:r>
      <w:r>
        <w:tab/>
      </w:r>
      <w:r w:rsidR="001B58DD">
        <w:t>No.  T</w:t>
      </w:r>
      <w:r w:rsidR="00B50F3E">
        <w:t xml:space="preserve">he percentage cap </w:t>
      </w:r>
      <w:r w:rsidR="001B58DD">
        <w:t xml:space="preserve">is against </w:t>
      </w:r>
      <w:r w:rsidR="00B50F3E">
        <w:t xml:space="preserve">the Total Award, which is Federal and Cost Share, </w:t>
      </w:r>
      <w:r w:rsidR="00E534F7">
        <w:t xml:space="preserve">and </w:t>
      </w:r>
      <w:r w:rsidR="00B50F3E">
        <w:t>cannot be exceeded.</w:t>
      </w:r>
    </w:p>
    <w:p w14:paraId="0C8FE63D" w14:textId="4848A31F" w:rsidR="00E534F7" w:rsidRPr="003F1BCA" w:rsidRDefault="00E534F7" w:rsidP="00E534F7">
      <w:pPr>
        <w:pStyle w:val="EEREQAtabbed-extra"/>
        <w:ind w:left="720" w:hanging="540"/>
        <w:rPr>
          <w:b/>
          <w:bCs/>
        </w:rPr>
      </w:pPr>
      <w:r w:rsidRPr="003F1BCA">
        <w:rPr>
          <w:b/>
          <w:bCs/>
        </w:rPr>
        <w:t>Q:</w:t>
      </w:r>
      <w:r w:rsidRPr="003F1BCA">
        <w:rPr>
          <w:b/>
          <w:bCs/>
        </w:rPr>
        <w:tab/>
      </w:r>
      <w:r>
        <w:rPr>
          <w:b/>
          <w:bCs/>
        </w:rPr>
        <w:t>How do unrecovered indirect costs as cost share get reimbursed with this cap</w:t>
      </w:r>
      <w:r w:rsidRPr="003F1BCA">
        <w:rPr>
          <w:b/>
          <w:bCs/>
        </w:rPr>
        <w:t xml:space="preserve">?  </w:t>
      </w:r>
    </w:p>
    <w:p w14:paraId="5AA20D8F" w14:textId="04911A78" w:rsidR="00906B20" w:rsidRDefault="00E534F7" w:rsidP="00906B20">
      <w:pPr>
        <w:pStyle w:val="EEREQAtabbedoption2"/>
        <w:ind w:left="720" w:hanging="540"/>
      </w:pPr>
      <w:r w:rsidRPr="1F0C77D1">
        <w:rPr>
          <w:b/>
          <w:bCs/>
        </w:rPr>
        <w:t>A:</w:t>
      </w:r>
      <w:r>
        <w:tab/>
        <w:t xml:space="preserve">Unrecovered costs are described under </w:t>
      </w:r>
      <w:hyperlink r:id="rId14" w:history="1">
        <w:r w:rsidRPr="1F0C77D1">
          <w:rPr>
            <w:rStyle w:val="Hyperlink"/>
          </w:rPr>
          <w:t>2 CFR § 200.306(c)</w:t>
        </w:r>
      </w:hyperlink>
      <w:r>
        <w:t xml:space="preserve"> as the difference between the amount charged to the Federal award and the amount which could have been charged.  If the percentage of indirect costs, inclusive of fringe, are less th</w:t>
      </w:r>
      <w:r w:rsidR="7D179957">
        <w:t>a</w:t>
      </w:r>
      <w:r>
        <w:t>n th</w:t>
      </w:r>
      <w:r w:rsidR="6B0F9A43">
        <w:t>e</w:t>
      </w:r>
      <w:r>
        <w:t xml:space="preserve"> cap, there is no impact to unrecovered indirect costs.  However, any indirect costs above the </w:t>
      </w:r>
      <w:r w:rsidR="009274E4">
        <w:t>cap</w:t>
      </w:r>
      <w:r>
        <w:t xml:space="preserve"> are not amounts which ‘could have been charged’ to the DOE award; therefore, they are not unrecovered</w:t>
      </w:r>
      <w:r w:rsidR="00954019">
        <w:t xml:space="preserve"> and not allowed as cost share</w:t>
      </w:r>
      <w:r>
        <w:t xml:space="preserve">. </w:t>
      </w:r>
    </w:p>
    <w:p w14:paraId="15EF04EA" w14:textId="77777777" w:rsidR="00906B20" w:rsidRPr="003F1BCA" w:rsidRDefault="00906B20" w:rsidP="00906B20">
      <w:pPr>
        <w:pStyle w:val="EEREQAtabbed-extra"/>
        <w:ind w:left="720" w:hanging="540"/>
        <w:rPr>
          <w:b/>
          <w:bCs/>
        </w:rPr>
      </w:pPr>
      <w:r w:rsidRPr="006568A9">
        <w:rPr>
          <w:b/>
          <w:bCs/>
        </w:rPr>
        <w:t xml:space="preserve">Q:  </w:t>
      </w:r>
      <w:r>
        <w:rPr>
          <w:b/>
          <w:bCs/>
        </w:rPr>
        <w:tab/>
      </w:r>
      <w:r w:rsidRPr="008D18F6">
        <w:rPr>
          <w:b/>
          <w:bCs/>
        </w:rPr>
        <w:t>If the organization does not meet the cap</w:t>
      </w:r>
      <w:r>
        <w:rPr>
          <w:b/>
          <w:bCs/>
        </w:rPr>
        <w:t xml:space="preserve"> amount</w:t>
      </w:r>
      <w:r w:rsidRPr="008D18F6">
        <w:rPr>
          <w:b/>
          <w:bCs/>
        </w:rPr>
        <w:t>, can the remainder be used as cost share</w:t>
      </w:r>
      <w:r w:rsidRPr="003F1BCA">
        <w:rPr>
          <w:b/>
          <w:bCs/>
        </w:rPr>
        <w:t>?</w:t>
      </w:r>
    </w:p>
    <w:p w14:paraId="3482D74E" w14:textId="40B8F649" w:rsidR="0054657D" w:rsidRDefault="00906B20" w:rsidP="00476FA5">
      <w:pPr>
        <w:pStyle w:val="EEREQAtabbedoption2"/>
        <w:ind w:left="720" w:hanging="540"/>
      </w:pPr>
      <w:r w:rsidRPr="003F1BCA">
        <w:rPr>
          <w:b/>
          <w:bCs/>
        </w:rPr>
        <w:t>A:</w:t>
      </w:r>
      <w:r>
        <w:t xml:space="preserve">  </w:t>
      </w:r>
      <w:r>
        <w:tab/>
      </w:r>
      <w:r w:rsidRPr="008D18F6">
        <w:t xml:space="preserve">No.  Cost Share </w:t>
      </w:r>
      <w:r>
        <w:t>are</w:t>
      </w:r>
      <w:r w:rsidRPr="008D18F6">
        <w:t xml:space="preserve"> allowable costs which are part of the </w:t>
      </w:r>
      <w:r w:rsidR="00954019">
        <w:t>total</w:t>
      </w:r>
      <w:r w:rsidRPr="008D18F6">
        <w:t xml:space="preserve"> award</w:t>
      </w:r>
      <w:r w:rsidR="00954019">
        <w:t xml:space="preserve"> and</w:t>
      </w:r>
      <w:r w:rsidRPr="008D18F6">
        <w:t xml:space="preserve"> the cap </w:t>
      </w:r>
      <w:r>
        <w:t xml:space="preserve">amount </w:t>
      </w:r>
      <w:r w:rsidRPr="008D18F6">
        <w:t xml:space="preserve">is a </w:t>
      </w:r>
      <w:r>
        <w:t xml:space="preserve">limitation or </w:t>
      </w:r>
      <w:r w:rsidRPr="008D18F6">
        <w:t>maximum amount of costs which cannot be exceeded,</w:t>
      </w:r>
      <w:r>
        <w:t xml:space="preserve"> not a fixed amount for recovery. </w:t>
      </w:r>
      <w:r w:rsidRPr="008D18F6">
        <w:t xml:space="preserve"> </w:t>
      </w:r>
      <w:r>
        <w:t>A</w:t>
      </w:r>
      <w:r w:rsidRPr="008D18F6">
        <w:t xml:space="preserve">ny difference cannot be utilized as cost share.   </w:t>
      </w:r>
    </w:p>
    <w:p w14:paraId="3A2F4311" w14:textId="2D3A3473" w:rsidR="00E238A9" w:rsidRPr="003F1BCA" w:rsidRDefault="00E238A9" w:rsidP="005F1101">
      <w:pPr>
        <w:pStyle w:val="EEREQAtabbed-extra"/>
        <w:ind w:left="720" w:hanging="540"/>
        <w:rPr>
          <w:b/>
          <w:bCs/>
        </w:rPr>
      </w:pPr>
      <w:r w:rsidRPr="003F1BCA">
        <w:rPr>
          <w:b/>
          <w:bCs/>
        </w:rPr>
        <w:t>Q:</w:t>
      </w:r>
      <w:r w:rsidRPr="003F1BCA">
        <w:rPr>
          <w:b/>
          <w:bCs/>
        </w:rPr>
        <w:tab/>
      </w:r>
      <w:r w:rsidR="001C62C7" w:rsidRPr="001C62C7">
        <w:rPr>
          <w:b/>
          <w:bCs/>
        </w:rPr>
        <w:t>Can our organization still use our approved rate agreement</w:t>
      </w:r>
      <w:r w:rsidRPr="003F1BCA">
        <w:rPr>
          <w:b/>
          <w:bCs/>
        </w:rPr>
        <w:t xml:space="preserve">?  </w:t>
      </w:r>
    </w:p>
    <w:p w14:paraId="6BB858A6" w14:textId="621029B2" w:rsidR="00420826" w:rsidRDefault="00E238A9" w:rsidP="00420826">
      <w:pPr>
        <w:pStyle w:val="EEREQAtabbedoption2"/>
        <w:ind w:left="720" w:hanging="540"/>
      </w:pPr>
      <w:r w:rsidRPr="6724D6CD">
        <w:rPr>
          <w:b/>
          <w:bCs/>
        </w:rPr>
        <w:t>A:</w:t>
      </w:r>
      <w:r>
        <w:tab/>
      </w:r>
      <w:r w:rsidR="001C62C7">
        <w:t xml:space="preserve">Yes.  The organization </w:t>
      </w:r>
      <w:r w:rsidR="001B58DD">
        <w:t>can</w:t>
      </w:r>
      <w:r w:rsidR="001C62C7">
        <w:t xml:space="preserve"> use</w:t>
      </w:r>
      <w:r w:rsidR="00646E10">
        <w:t xml:space="preserve"> their</w:t>
      </w:r>
      <w:r w:rsidR="001C62C7">
        <w:t xml:space="preserve"> approved </w:t>
      </w:r>
      <w:r w:rsidR="00646E10">
        <w:t>rate agreement</w:t>
      </w:r>
      <w:r w:rsidR="00DD3CF7">
        <w:t xml:space="preserve">; once the cap amount is met, no further </w:t>
      </w:r>
      <w:r w:rsidR="00646E10">
        <w:t xml:space="preserve">fringe or </w:t>
      </w:r>
      <w:r w:rsidR="00DD3CF7">
        <w:t xml:space="preserve">indirect costs will be reimbursed.  </w:t>
      </w:r>
      <w:r w:rsidR="00646E10">
        <w:t>Or</w:t>
      </w:r>
      <w:r w:rsidR="00DD3CF7">
        <w:t xml:space="preserve">, rates can be </w:t>
      </w:r>
      <w:r w:rsidR="00ED540D">
        <w:t>reduced</w:t>
      </w:r>
      <w:r w:rsidR="00DD3CF7">
        <w:t xml:space="preserve"> </w:t>
      </w:r>
      <w:r w:rsidR="00ED540D">
        <w:t xml:space="preserve">while </w:t>
      </w:r>
      <w:r w:rsidR="00DD3CF7">
        <w:t>applying the recipient’s same rate methodology</w:t>
      </w:r>
      <w:r w:rsidR="00646E10">
        <w:t xml:space="preserve"> over the life of the award</w:t>
      </w:r>
      <w:r w:rsidR="00DD3CF7">
        <w:t xml:space="preserve">; </w:t>
      </w:r>
      <w:r w:rsidR="00646E10">
        <w:t>again</w:t>
      </w:r>
      <w:r w:rsidR="00DD3CF7">
        <w:t xml:space="preserve">, any amounts </w:t>
      </w:r>
      <w:r w:rsidR="00646E10">
        <w:t>above</w:t>
      </w:r>
      <w:r w:rsidR="00DD3CF7">
        <w:t xml:space="preserve"> than the </w:t>
      </w:r>
      <w:r w:rsidR="00646E10">
        <w:t xml:space="preserve">allowed </w:t>
      </w:r>
      <w:r w:rsidR="00DD3CF7">
        <w:t xml:space="preserve">cap </w:t>
      </w:r>
      <w:r w:rsidR="00646E10">
        <w:t>will not be reimbursed</w:t>
      </w:r>
      <w:r w:rsidR="00DD3CF7">
        <w:t>.</w:t>
      </w:r>
      <w:r w:rsidR="001C62C7">
        <w:t xml:space="preserve"> </w:t>
      </w:r>
    </w:p>
    <w:p w14:paraId="3E3B5BEC" w14:textId="77777777" w:rsidR="00937A09" w:rsidRDefault="00937A09" w:rsidP="005F1101">
      <w:pPr>
        <w:pStyle w:val="EEREQAtabbed-extra"/>
        <w:ind w:left="720" w:hanging="540"/>
        <w:rPr>
          <w:b/>
          <w:bCs/>
        </w:rPr>
      </w:pPr>
    </w:p>
    <w:p w14:paraId="3F490E43" w14:textId="631881E0" w:rsidR="00E238A9" w:rsidRPr="003F1BCA" w:rsidRDefault="00E238A9" w:rsidP="005F1101">
      <w:pPr>
        <w:pStyle w:val="EEREQAtabbed-extra"/>
        <w:ind w:left="720" w:hanging="540"/>
        <w:rPr>
          <w:b/>
          <w:bCs/>
        </w:rPr>
      </w:pPr>
      <w:r w:rsidRPr="6724D6CD">
        <w:rPr>
          <w:b/>
          <w:bCs/>
        </w:rPr>
        <w:t>Q:</w:t>
      </w:r>
      <w:r>
        <w:tab/>
      </w:r>
      <w:r w:rsidR="008D18F6" w:rsidRPr="6724D6CD">
        <w:rPr>
          <w:b/>
          <w:bCs/>
        </w:rPr>
        <w:t xml:space="preserve">Does our organization still need to provide a rate proposal if it desires to charge indirect costs but does not have an agreement?  </w:t>
      </w:r>
    </w:p>
    <w:p w14:paraId="65215646" w14:textId="55EE790D" w:rsidR="00E238A9" w:rsidRDefault="00E238A9" w:rsidP="005F1101">
      <w:pPr>
        <w:pStyle w:val="EEREQAtabbedoption2"/>
        <w:ind w:left="720" w:hanging="540"/>
      </w:pPr>
      <w:r w:rsidRPr="008D18F6">
        <w:rPr>
          <w:b/>
          <w:bCs/>
        </w:rPr>
        <w:t>A:</w:t>
      </w:r>
      <w:r w:rsidRPr="008D18F6">
        <w:rPr>
          <w:b/>
          <w:bCs/>
        </w:rPr>
        <w:tab/>
      </w:r>
      <w:r w:rsidR="008D18F6" w:rsidRPr="008D18F6">
        <w:t xml:space="preserve">Yes.  The organization will need to provide a rate proposal in support of segregated fringe and indirect billing rates for provisional billing purposes and can </w:t>
      </w:r>
      <w:r w:rsidR="00B90891">
        <w:t>allocate approved provisional</w:t>
      </w:r>
      <w:r w:rsidR="008D18F6" w:rsidRPr="008D18F6">
        <w:t xml:space="preserve"> rates </w:t>
      </w:r>
      <w:r w:rsidR="008D18F6">
        <w:t>up to</w:t>
      </w:r>
      <w:r w:rsidR="008D18F6" w:rsidRPr="008D18F6">
        <w:t xml:space="preserve"> the percentage cap </w:t>
      </w:r>
      <w:r w:rsidR="008D18F6">
        <w:t xml:space="preserve">amount </w:t>
      </w:r>
      <w:r w:rsidR="008D18F6" w:rsidRPr="008D18F6">
        <w:t>on the award</w:t>
      </w:r>
      <w:r w:rsidR="008D18F6">
        <w:t>.</w:t>
      </w:r>
    </w:p>
    <w:p w14:paraId="4AF7962B" w14:textId="22CE8B60" w:rsidR="00E238A9" w:rsidRPr="003F1BCA" w:rsidRDefault="00E238A9" w:rsidP="005F1101">
      <w:pPr>
        <w:pStyle w:val="EEREQAtabbed-extra"/>
        <w:ind w:left="720" w:hanging="540"/>
        <w:rPr>
          <w:b/>
          <w:bCs/>
        </w:rPr>
      </w:pPr>
      <w:r w:rsidRPr="003F1BCA">
        <w:rPr>
          <w:b/>
          <w:bCs/>
        </w:rPr>
        <w:t>Q:</w:t>
      </w:r>
      <w:r w:rsidRPr="003F1BCA">
        <w:rPr>
          <w:b/>
          <w:bCs/>
        </w:rPr>
        <w:tab/>
      </w:r>
      <w:r w:rsidR="008D18F6" w:rsidRPr="008D18F6">
        <w:rPr>
          <w:b/>
          <w:bCs/>
        </w:rPr>
        <w:t xml:space="preserve">Does our organization still need to submit </w:t>
      </w:r>
      <w:r w:rsidR="008E5B01">
        <w:rPr>
          <w:b/>
          <w:bCs/>
        </w:rPr>
        <w:t>our</w:t>
      </w:r>
      <w:r w:rsidR="008D18F6" w:rsidRPr="008D18F6">
        <w:rPr>
          <w:b/>
          <w:bCs/>
        </w:rPr>
        <w:t xml:space="preserve"> annual Incurred Cost Proposal</w:t>
      </w:r>
      <w:r w:rsidRPr="003F1BCA">
        <w:rPr>
          <w:b/>
          <w:bCs/>
        </w:rPr>
        <w:t xml:space="preserve">?  </w:t>
      </w:r>
    </w:p>
    <w:p w14:paraId="5E34A7BC" w14:textId="1ECA2685" w:rsidR="00E238A9" w:rsidRDefault="00E238A9" w:rsidP="005F1101">
      <w:pPr>
        <w:pStyle w:val="EEREQAtabbedoption2"/>
        <w:ind w:left="720" w:hanging="540"/>
      </w:pPr>
      <w:r w:rsidRPr="008D18F6">
        <w:rPr>
          <w:b/>
          <w:bCs/>
        </w:rPr>
        <w:t>A:</w:t>
      </w:r>
      <w:r w:rsidRPr="008D18F6">
        <w:rPr>
          <w:b/>
          <w:bCs/>
        </w:rPr>
        <w:tab/>
      </w:r>
      <w:r w:rsidR="008D18F6" w:rsidRPr="008D18F6">
        <w:t xml:space="preserve">Yes.  </w:t>
      </w:r>
      <w:r w:rsidR="003D7904">
        <w:t>I</w:t>
      </w:r>
      <w:r w:rsidR="008D18F6" w:rsidRPr="008D18F6">
        <w:t xml:space="preserve">ndirect billing rates </w:t>
      </w:r>
      <w:r w:rsidR="003D7904">
        <w:t>are still required</w:t>
      </w:r>
      <w:r w:rsidR="008D18F6" w:rsidRPr="008D18F6">
        <w:t xml:space="preserve"> to be trued-up (reconciled) annually to ensure there were no over-recoveries in indirect costs</w:t>
      </w:r>
      <w:r w:rsidR="006717BF">
        <w:t xml:space="preserve"> and the Incurred Cost Proposal still needs to be provided to the Cognizant Agency per the appendices of 2 CFR Part 200 and </w:t>
      </w:r>
      <w:hyperlink r:id="rId15" w:history="1">
        <w:r w:rsidR="006717BF" w:rsidRPr="00E752B7">
          <w:rPr>
            <w:rStyle w:val="Hyperlink"/>
          </w:rPr>
          <w:t>FAR Part 42.7</w:t>
        </w:r>
      </w:hyperlink>
      <w:r w:rsidR="008D18F6" w:rsidRPr="008D18F6">
        <w:t>.</w:t>
      </w:r>
    </w:p>
    <w:p w14:paraId="2513D062" w14:textId="11AD4FBB" w:rsidR="00E238A9" w:rsidRPr="003F1BCA" w:rsidRDefault="00E238A9" w:rsidP="005F1101">
      <w:pPr>
        <w:pStyle w:val="EEREQAtabbed-extra"/>
        <w:ind w:left="720" w:hanging="540"/>
        <w:rPr>
          <w:b/>
          <w:bCs/>
        </w:rPr>
      </w:pPr>
      <w:r w:rsidRPr="003F1BCA">
        <w:rPr>
          <w:b/>
          <w:bCs/>
        </w:rPr>
        <w:t>Q:</w:t>
      </w:r>
      <w:r w:rsidR="003F1BCA">
        <w:rPr>
          <w:b/>
          <w:bCs/>
        </w:rPr>
        <w:tab/>
      </w:r>
      <w:r w:rsidR="003D7904" w:rsidRPr="003D7904">
        <w:rPr>
          <w:b/>
          <w:bCs/>
        </w:rPr>
        <w:t>Can our organization still elect the de minimis billing rate</w:t>
      </w:r>
      <w:r w:rsidR="003D7904">
        <w:rPr>
          <w:b/>
          <w:bCs/>
        </w:rPr>
        <w:t xml:space="preserve"> per </w:t>
      </w:r>
      <w:hyperlink r:id="rId16" w:history="1">
        <w:r w:rsidR="003D7904" w:rsidRPr="00107380">
          <w:rPr>
            <w:rStyle w:val="Hyperlink"/>
            <w:b/>
            <w:bCs/>
          </w:rPr>
          <w:t>2 CFR Part 200.414(f)</w:t>
        </w:r>
      </w:hyperlink>
      <w:r w:rsidRPr="003F1BCA">
        <w:rPr>
          <w:b/>
          <w:bCs/>
        </w:rPr>
        <w:t>?</w:t>
      </w:r>
    </w:p>
    <w:p w14:paraId="042E0776" w14:textId="0308CD77" w:rsidR="00E238A9" w:rsidRDefault="00E238A9" w:rsidP="005F1101">
      <w:pPr>
        <w:pStyle w:val="EEREQAtabbedoption2"/>
        <w:ind w:left="720" w:hanging="540"/>
      </w:pPr>
      <w:r w:rsidRPr="003F1BCA">
        <w:rPr>
          <w:b/>
          <w:bCs/>
        </w:rPr>
        <w:t>A:</w:t>
      </w:r>
      <w:r>
        <w:t xml:space="preserve">  </w:t>
      </w:r>
      <w:r>
        <w:tab/>
      </w:r>
      <w:r w:rsidR="003D7904" w:rsidRPr="003D7904">
        <w:t xml:space="preserve">Yes.  The organization can elect the de minimis if it does not have a current rate agreement; however, </w:t>
      </w:r>
      <w:r w:rsidR="003D7904">
        <w:t xml:space="preserve">the </w:t>
      </w:r>
      <w:r w:rsidR="00BE27E4">
        <w:t>cap</w:t>
      </w:r>
      <w:r w:rsidR="00FE33E2">
        <w:t xml:space="preserve"> on </w:t>
      </w:r>
      <w:r w:rsidR="003D7904" w:rsidRPr="003D7904">
        <w:t>fringe and indirect cost</w:t>
      </w:r>
      <w:r w:rsidR="00615905">
        <w:t xml:space="preserve"> </w:t>
      </w:r>
      <w:r w:rsidR="004133D7">
        <w:t>s</w:t>
      </w:r>
      <w:r w:rsidR="003D7904">
        <w:t>till applies</w:t>
      </w:r>
      <w:r w:rsidR="003D7904" w:rsidRPr="003D7904">
        <w:t>.</w:t>
      </w:r>
    </w:p>
    <w:p w14:paraId="1B8BD239" w14:textId="03D972D8" w:rsidR="00E238A9" w:rsidRPr="003F1BCA" w:rsidRDefault="00E238A9" w:rsidP="005F1101">
      <w:pPr>
        <w:pStyle w:val="EEREQAtabbed-extra"/>
        <w:ind w:left="720" w:hanging="540"/>
        <w:rPr>
          <w:b/>
          <w:bCs/>
        </w:rPr>
      </w:pPr>
      <w:r w:rsidRPr="003F1BCA">
        <w:rPr>
          <w:b/>
          <w:bCs/>
        </w:rPr>
        <w:t>Q:</w:t>
      </w:r>
      <w:r w:rsidR="003F1BCA">
        <w:rPr>
          <w:b/>
          <w:bCs/>
        </w:rPr>
        <w:tab/>
      </w:r>
      <w:r w:rsidR="008D18F6" w:rsidRPr="008D18F6">
        <w:rPr>
          <w:b/>
          <w:bCs/>
        </w:rPr>
        <w:t>If the percentage cap</w:t>
      </w:r>
      <w:r w:rsidR="003D7904">
        <w:rPr>
          <w:b/>
          <w:bCs/>
        </w:rPr>
        <w:t xml:space="preserve"> amount</w:t>
      </w:r>
      <w:r w:rsidR="008D18F6" w:rsidRPr="008D18F6">
        <w:rPr>
          <w:b/>
          <w:bCs/>
        </w:rPr>
        <w:t xml:space="preserve"> is not met, is the entity entitled to receive the difference up to the cap</w:t>
      </w:r>
      <w:r w:rsidRPr="003F1BCA">
        <w:rPr>
          <w:b/>
          <w:bCs/>
        </w:rPr>
        <w:t>?</w:t>
      </w:r>
    </w:p>
    <w:p w14:paraId="4E94FA36" w14:textId="77777777" w:rsidR="00E534F7" w:rsidRDefault="00E238A9" w:rsidP="00E534F7">
      <w:pPr>
        <w:pStyle w:val="EEREQAtabbedoption2"/>
        <w:ind w:left="720" w:hanging="540"/>
      </w:pPr>
      <w:r w:rsidRPr="00C71745">
        <w:rPr>
          <w:b/>
          <w:bCs/>
        </w:rPr>
        <w:t>A</w:t>
      </w:r>
      <w:r w:rsidR="003F1BCA" w:rsidRPr="00C71745">
        <w:rPr>
          <w:b/>
          <w:bCs/>
        </w:rPr>
        <w:t>:</w:t>
      </w:r>
      <w:r w:rsidR="003F1BCA" w:rsidRPr="00C71745">
        <w:rPr>
          <w:b/>
          <w:bCs/>
        </w:rPr>
        <w:tab/>
      </w:r>
      <w:r w:rsidR="008D18F6" w:rsidRPr="008D18F6">
        <w:t>No.  The cap is a limitation o</w:t>
      </w:r>
      <w:r w:rsidR="00B90891">
        <w:t>r</w:t>
      </w:r>
      <w:r w:rsidR="008D18F6" w:rsidRPr="008D18F6">
        <w:t xml:space="preserve"> maximum amount set for cost recovery</w:t>
      </w:r>
      <w:r w:rsidR="00B90891">
        <w:t>, not a fixed amount to be recovered.  T</w:t>
      </w:r>
      <w:r w:rsidR="008D18F6" w:rsidRPr="008D18F6">
        <w:t>he entity is not entitled to the difference in the indirect costs incurred and the cap</w:t>
      </w:r>
      <w:r w:rsidR="008D18F6">
        <w:t xml:space="preserve"> amount.</w:t>
      </w:r>
    </w:p>
    <w:p w14:paraId="444FCCD3" w14:textId="77777777" w:rsidR="00E534F7" w:rsidRPr="003F1BCA" w:rsidRDefault="00E534F7" w:rsidP="00E534F7">
      <w:pPr>
        <w:pStyle w:val="EEREQAtabbed-extra"/>
        <w:ind w:left="720" w:hanging="540"/>
        <w:rPr>
          <w:b/>
          <w:bCs/>
        </w:rPr>
      </w:pPr>
      <w:r w:rsidRPr="003F1BCA">
        <w:rPr>
          <w:b/>
          <w:bCs/>
        </w:rPr>
        <w:t>Q:</w:t>
      </w:r>
      <w:r w:rsidRPr="003F1BCA">
        <w:rPr>
          <w:b/>
          <w:bCs/>
        </w:rPr>
        <w:tab/>
      </w:r>
      <w:r>
        <w:rPr>
          <w:b/>
          <w:bCs/>
        </w:rPr>
        <w:t>How is our organization supposed to adjust the budget to meet the cap</w:t>
      </w:r>
      <w:r w:rsidRPr="003F1BCA">
        <w:rPr>
          <w:b/>
          <w:bCs/>
        </w:rPr>
        <w:t xml:space="preserve">?  </w:t>
      </w:r>
    </w:p>
    <w:p w14:paraId="4DCEC01B" w14:textId="693A3E0D" w:rsidR="00A32F3C" w:rsidRDefault="00E534F7" w:rsidP="00A32F3C">
      <w:pPr>
        <w:pStyle w:val="EEREQAtabbedoption2"/>
        <w:ind w:left="720" w:hanging="540"/>
      </w:pPr>
      <w:r w:rsidRPr="003F1BCA">
        <w:rPr>
          <w:b/>
          <w:bCs/>
        </w:rPr>
        <w:t>A:</w:t>
      </w:r>
      <w:r>
        <w:tab/>
        <w:t xml:space="preserve">The organization will need to determine how to </w:t>
      </w:r>
      <w:r w:rsidR="00FC7D39">
        <w:t xml:space="preserve">adjust </w:t>
      </w:r>
      <w:r>
        <w:t>their budget to ensure the cap is not exceeded.  DOE cannot provide input or guide recipients how the costs proposed from a Recipient are to be implemented into the budget.</w:t>
      </w:r>
    </w:p>
    <w:p w14:paraId="0FACBD8E" w14:textId="7A6B7AA5" w:rsidR="00A32F3C" w:rsidRPr="003F1BCA" w:rsidRDefault="00A32F3C" w:rsidP="00A32F3C">
      <w:pPr>
        <w:pStyle w:val="EEREQAtabbed-extra"/>
        <w:ind w:left="720" w:hanging="540"/>
        <w:rPr>
          <w:b/>
          <w:bCs/>
        </w:rPr>
      </w:pPr>
      <w:r w:rsidRPr="003F1BCA">
        <w:rPr>
          <w:b/>
          <w:bCs/>
        </w:rPr>
        <w:t>Q:</w:t>
      </w:r>
      <w:r>
        <w:rPr>
          <w:b/>
          <w:bCs/>
        </w:rPr>
        <w:tab/>
      </w:r>
      <w:r w:rsidRPr="008D18F6">
        <w:rPr>
          <w:b/>
          <w:bCs/>
        </w:rPr>
        <w:t xml:space="preserve">If the </w:t>
      </w:r>
      <w:r>
        <w:rPr>
          <w:b/>
          <w:bCs/>
        </w:rPr>
        <w:t>recipient reduces their indirect costs recovery</w:t>
      </w:r>
      <w:r w:rsidR="00B90891">
        <w:rPr>
          <w:b/>
          <w:bCs/>
        </w:rPr>
        <w:t xml:space="preserve"> amounts to meet the cap</w:t>
      </w:r>
      <w:r>
        <w:rPr>
          <w:b/>
          <w:bCs/>
        </w:rPr>
        <w:t xml:space="preserve">, can award costs be </w:t>
      </w:r>
      <w:r w:rsidR="00B90891">
        <w:rPr>
          <w:b/>
          <w:bCs/>
        </w:rPr>
        <w:t>re</w:t>
      </w:r>
      <w:r>
        <w:rPr>
          <w:b/>
          <w:bCs/>
        </w:rPr>
        <w:t>allocated to direct cost elements</w:t>
      </w:r>
      <w:r w:rsidR="00324B81">
        <w:rPr>
          <w:b/>
          <w:bCs/>
        </w:rPr>
        <w:t>?</w:t>
      </w:r>
    </w:p>
    <w:p w14:paraId="0BD66898" w14:textId="0EA3FB85" w:rsidR="00906B20" w:rsidRDefault="00A32F3C" w:rsidP="00906B20">
      <w:pPr>
        <w:pStyle w:val="EEREQAtabbedoption2"/>
        <w:ind w:left="720" w:hanging="540"/>
      </w:pPr>
      <w:r w:rsidRPr="6724D6CD">
        <w:rPr>
          <w:b/>
          <w:bCs/>
        </w:rPr>
        <w:t>A:</w:t>
      </w:r>
      <w:r>
        <w:tab/>
        <w:t>If there are legitimate direct costs required to meet the project objectives of the DOE award, justification can be provided for DOE approval</w:t>
      </w:r>
      <w:r w:rsidR="7CDC3164">
        <w:t xml:space="preserve"> for any additional direct costs</w:t>
      </w:r>
      <w:r>
        <w:t>.</w:t>
      </w:r>
      <w:r w:rsidR="003D7904">
        <w:t xml:space="preserve"> </w:t>
      </w:r>
    </w:p>
    <w:p w14:paraId="392F19F9" w14:textId="2FE8B876" w:rsidR="00906B20" w:rsidRPr="003F1BCA" w:rsidRDefault="00906B20" w:rsidP="00906B20">
      <w:pPr>
        <w:pStyle w:val="EEREQAtabbed-extra"/>
        <w:ind w:left="720" w:hanging="540"/>
        <w:rPr>
          <w:b/>
          <w:bCs/>
        </w:rPr>
      </w:pPr>
      <w:r w:rsidRPr="003F1BCA">
        <w:rPr>
          <w:b/>
          <w:bCs/>
        </w:rPr>
        <w:t>Q:</w:t>
      </w:r>
      <w:r w:rsidRPr="003F1BCA">
        <w:rPr>
          <w:b/>
          <w:bCs/>
        </w:rPr>
        <w:tab/>
      </w:r>
      <w:r>
        <w:rPr>
          <w:b/>
          <w:bCs/>
        </w:rPr>
        <w:t>If only the first budget period is being negotiated, is the percentage cap per budget period or always based on the Total Award amounts</w:t>
      </w:r>
      <w:r w:rsidRPr="00024DA0">
        <w:rPr>
          <w:b/>
          <w:bCs/>
        </w:rPr>
        <w:t xml:space="preserve">?  </w:t>
      </w:r>
    </w:p>
    <w:p w14:paraId="6B06E429" w14:textId="5A4206CE" w:rsidR="00906B20" w:rsidRDefault="00906B20" w:rsidP="00906B20">
      <w:pPr>
        <w:pStyle w:val="EEREQAtabbedoption2"/>
        <w:ind w:left="720" w:hanging="540"/>
      </w:pPr>
      <w:r w:rsidRPr="003F1BCA">
        <w:rPr>
          <w:b/>
          <w:bCs/>
        </w:rPr>
        <w:t>A:</w:t>
      </w:r>
      <w:r w:rsidRPr="003F1BCA">
        <w:rPr>
          <w:b/>
          <w:bCs/>
        </w:rPr>
        <w:tab/>
      </w:r>
      <w:r>
        <w:t>The percentage cap is calculated against the total award amount (Federal and Cost Share).</w:t>
      </w:r>
      <w:r w:rsidR="008E5B01">
        <w:t xml:space="preserve">  If only the first budget period is negotiated, then the total award amount is tied to the first budget period.  In the second budget period, the total award amount is tied to budget periods one and two, and so forth.</w:t>
      </w:r>
    </w:p>
    <w:p w14:paraId="026BDB94" w14:textId="40314407" w:rsidR="00906B20" w:rsidRPr="003F1BCA" w:rsidRDefault="00906B20" w:rsidP="00906B20">
      <w:pPr>
        <w:pStyle w:val="EEREQAtabbed-extra"/>
        <w:ind w:left="720" w:hanging="540"/>
        <w:rPr>
          <w:b/>
          <w:bCs/>
        </w:rPr>
      </w:pPr>
      <w:r w:rsidRPr="003F1BCA">
        <w:rPr>
          <w:b/>
          <w:bCs/>
        </w:rPr>
        <w:lastRenderedPageBreak/>
        <w:t>Q:</w:t>
      </w:r>
      <w:r w:rsidRPr="003F1BCA">
        <w:rPr>
          <w:b/>
          <w:bCs/>
        </w:rPr>
        <w:tab/>
      </w:r>
      <w:r w:rsidRPr="00024DA0">
        <w:rPr>
          <w:b/>
          <w:bCs/>
        </w:rPr>
        <w:t xml:space="preserve">What happens if </w:t>
      </w:r>
      <w:r>
        <w:rPr>
          <w:b/>
          <w:bCs/>
        </w:rPr>
        <w:t>the Total Award costs are adjusted</w:t>
      </w:r>
      <w:r w:rsidRPr="00024DA0">
        <w:rPr>
          <w:b/>
          <w:bCs/>
        </w:rPr>
        <w:t xml:space="preserve">?  </w:t>
      </w:r>
    </w:p>
    <w:p w14:paraId="2A302060" w14:textId="724ED0AC" w:rsidR="003D7904" w:rsidRDefault="46CE73EF" w:rsidP="00906B20">
      <w:pPr>
        <w:pStyle w:val="EEREQAtabbedoption2"/>
        <w:ind w:left="720" w:hanging="540"/>
      </w:pPr>
      <w:r w:rsidRPr="54F9DD04">
        <w:rPr>
          <w:b/>
          <w:bCs/>
        </w:rPr>
        <w:t>A:</w:t>
      </w:r>
      <w:r w:rsidR="00906B20">
        <w:tab/>
      </w:r>
      <w:r>
        <w:t xml:space="preserve">The percentage cap is calculated against the total award (Federal and Cost Share).  If the total award cost changes, then the cap amount also adjusts up or down to coincide with the </w:t>
      </w:r>
      <w:r w:rsidR="008E5B01">
        <w:t xml:space="preserve">total </w:t>
      </w:r>
      <w:r>
        <w:t xml:space="preserve">award </w:t>
      </w:r>
      <w:r w:rsidR="008E5B01">
        <w:t>amount</w:t>
      </w:r>
      <w:r w:rsidR="4756EB5D">
        <w:t>.</w:t>
      </w:r>
      <w:r>
        <w:t xml:space="preserve"> </w:t>
      </w:r>
    </w:p>
    <w:p w14:paraId="19EB955F" w14:textId="11818D14" w:rsidR="003D7904" w:rsidRPr="003F1BCA" w:rsidRDefault="003D7904" w:rsidP="005F1101">
      <w:pPr>
        <w:pStyle w:val="EEREQAtabbed-extra"/>
        <w:ind w:left="720" w:hanging="540"/>
        <w:rPr>
          <w:b/>
          <w:bCs/>
        </w:rPr>
      </w:pPr>
      <w:r w:rsidRPr="006568A9">
        <w:rPr>
          <w:b/>
          <w:bCs/>
        </w:rPr>
        <w:t xml:space="preserve">Q:  </w:t>
      </w:r>
      <w:r>
        <w:rPr>
          <w:b/>
          <w:bCs/>
        </w:rPr>
        <w:tab/>
      </w:r>
      <w:r w:rsidRPr="003D7904">
        <w:rPr>
          <w:b/>
          <w:bCs/>
        </w:rPr>
        <w:t>Can the organization bill the costs associated with the cap in advance of incurring them</w:t>
      </w:r>
      <w:r w:rsidRPr="003F1BCA">
        <w:rPr>
          <w:b/>
          <w:bCs/>
        </w:rPr>
        <w:t>?</w:t>
      </w:r>
    </w:p>
    <w:p w14:paraId="7DCE2969" w14:textId="18D7B19E" w:rsidR="003D7904" w:rsidRDefault="003D7904" w:rsidP="005F1101">
      <w:pPr>
        <w:pStyle w:val="EEREQAtabbedoption2"/>
        <w:ind w:left="720" w:hanging="540"/>
      </w:pPr>
      <w:r w:rsidRPr="003F1BCA">
        <w:rPr>
          <w:b/>
          <w:bCs/>
        </w:rPr>
        <w:t>A:</w:t>
      </w:r>
      <w:r>
        <w:t xml:space="preserve">  </w:t>
      </w:r>
      <w:r>
        <w:tab/>
      </w:r>
      <w:r w:rsidRPr="003D7904">
        <w:t>No.  Indirect cost</w:t>
      </w:r>
      <w:r w:rsidR="00E33096">
        <w:t xml:space="preserve">s are allocated only if </w:t>
      </w:r>
      <w:r w:rsidRPr="003D7904">
        <w:t xml:space="preserve">direct costs </w:t>
      </w:r>
      <w:r w:rsidR="00E33096">
        <w:t xml:space="preserve">are </w:t>
      </w:r>
      <w:r w:rsidRPr="003D7904">
        <w:t xml:space="preserve">incurred.  It is unallowable to </w:t>
      </w:r>
      <w:r w:rsidR="00DD2AE7">
        <w:t>invoice</w:t>
      </w:r>
      <w:r w:rsidRPr="003D7904">
        <w:t xml:space="preserve"> for </w:t>
      </w:r>
      <w:r w:rsidR="00E33096">
        <w:t xml:space="preserve">any </w:t>
      </w:r>
      <w:r w:rsidRPr="003D7904">
        <w:t>costs which have not been incurred</w:t>
      </w:r>
      <w:r w:rsidRPr="008D18F6">
        <w:t xml:space="preserve">.   </w:t>
      </w:r>
    </w:p>
    <w:p w14:paraId="3D84C6AD" w14:textId="4A9884E0" w:rsidR="0020731F" w:rsidRPr="006568A9" w:rsidRDefault="003D7904" w:rsidP="005F1101">
      <w:pPr>
        <w:pStyle w:val="EEREQAtabbed-extra"/>
        <w:ind w:left="720" w:hanging="540"/>
        <w:rPr>
          <w:b/>
          <w:bCs/>
        </w:rPr>
      </w:pPr>
      <w:r w:rsidRPr="003F1BCA">
        <w:rPr>
          <w:b/>
          <w:bCs/>
        </w:rPr>
        <w:t>Q:</w:t>
      </w:r>
      <w:r>
        <w:rPr>
          <w:b/>
          <w:bCs/>
        </w:rPr>
        <w:tab/>
      </w:r>
      <w:r w:rsidR="0020731F" w:rsidRPr="006568A9">
        <w:rPr>
          <w:b/>
          <w:bCs/>
        </w:rPr>
        <w:t>If a recipient</w:t>
      </w:r>
      <w:r w:rsidR="0020731F">
        <w:rPr>
          <w:b/>
          <w:bCs/>
        </w:rPr>
        <w:t>’s labor</w:t>
      </w:r>
      <w:r w:rsidR="00955451">
        <w:rPr>
          <w:b/>
          <w:bCs/>
        </w:rPr>
        <w:t xml:space="preserve"> billing</w:t>
      </w:r>
      <w:r w:rsidR="0020731F">
        <w:rPr>
          <w:b/>
          <w:bCs/>
        </w:rPr>
        <w:t xml:space="preserve"> rates include overhead burdens, </w:t>
      </w:r>
      <w:r w:rsidR="00C71745">
        <w:rPr>
          <w:b/>
          <w:bCs/>
        </w:rPr>
        <w:t>does the cap apply</w:t>
      </w:r>
      <w:r w:rsidR="0020731F" w:rsidRPr="006568A9">
        <w:rPr>
          <w:b/>
          <w:bCs/>
        </w:rPr>
        <w:t xml:space="preserve">? </w:t>
      </w:r>
    </w:p>
    <w:p w14:paraId="5D576960" w14:textId="0392D8B9" w:rsidR="003D7904" w:rsidRDefault="0020731F" w:rsidP="005F1101">
      <w:pPr>
        <w:pStyle w:val="EEREQAtabbedoption2"/>
        <w:ind w:left="720" w:hanging="540"/>
      </w:pPr>
      <w:r w:rsidRPr="006568A9">
        <w:rPr>
          <w:b/>
          <w:bCs/>
        </w:rPr>
        <w:t xml:space="preserve">A: </w:t>
      </w:r>
      <w:r>
        <w:t xml:space="preserve"> </w:t>
      </w:r>
      <w:r>
        <w:tab/>
      </w:r>
      <w:r w:rsidR="00C4289E">
        <w:t>Yes.</w:t>
      </w:r>
      <w:r w:rsidR="00586B46">
        <w:t xml:space="preserve">  </w:t>
      </w:r>
      <w:r>
        <w:t xml:space="preserve">If the recipient </w:t>
      </w:r>
      <w:r w:rsidR="00586B46">
        <w:t xml:space="preserve">labor rates are </w:t>
      </w:r>
      <w:r>
        <w:t>burden</w:t>
      </w:r>
      <w:r w:rsidR="00F763E1">
        <w:t>ed</w:t>
      </w:r>
      <w:r w:rsidR="004C2510">
        <w:t>,</w:t>
      </w:r>
      <w:r>
        <w:t xml:space="preserve"> </w:t>
      </w:r>
      <w:r w:rsidR="00C71745">
        <w:t xml:space="preserve">the </w:t>
      </w:r>
      <w:r w:rsidR="00646998">
        <w:t xml:space="preserve">DOE will </w:t>
      </w:r>
      <w:r w:rsidR="00C4289E">
        <w:t xml:space="preserve">require the burdened labor rates be broken out into the direct hourly rate and reflect the percentage burden to ensure the percentage cap is not exceeded. </w:t>
      </w:r>
    </w:p>
    <w:p w14:paraId="532659D6" w14:textId="68C84852" w:rsidR="00646E10" w:rsidRPr="003F1BCA" w:rsidRDefault="00646E10" w:rsidP="00646E10">
      <w:pPr>
        <w:pStyle w:val="EEREQAtabbed-extra"/>
        <w:ind w:left="720" w:hanging="540"/>
        <w:rPr>
          <w:b/>
          <w:bCs/>
        </w:rPr>
      </w:pPr>
      <w:r w:rsidRPr="006568A9">
        <w:rPr>
          <w:b/>
          <w:bCs/>
        </w:rPr>
        <w:t xml:space="preserve">Q:  </w:t>
      </w:r>
      <w:r>
        <w:rPr>
          <w:b/>
          <w:bCs/>
        </w:rPr>
        <w:tab/>
        <w:t>Are subrecipients cap based on their award amount and is the subrecipient’s cap deducted from the Prime’s cap amount?</w:t>
      </w:r>
    </w:p>
    <w:p w14:paraId="01513E6A" w14:textId="3B5F8848" w:rsidR="00646E10" w:rsidRDefault="00646E10" w:rsidP="00646E10">
      <w:pPr>
        <w:pStyle w:val="EEREQAtabbedoption2"/>
        <w:ind w:left="720" w:hanging="540"/>
      </w:pPr>
      <w:r w:rsidRPr="6724D6CD">
        <w:rPr>
          <w:b/>
          <w:bCs/>
        </w:rPr>
        <w:t>A:</w:t>
      </w:r>
      <w:r>
        <w:t xml:space="preserve">  </w:t>
      </w:r>
      <w:r>
        <w:tab/>
        <w:t xml:space="preserve">Yes.  The Subrecipient’s cap is based on their </w:t>
      </w:r>
      <w:r w:rsidR="0043774D">
        <w:t xml:space="preserve">total </w:t>
      </w:r>
      <w:r>
        <w:t>award, not the</w:t>
      </w:r>
      <w:r w:rsidR="002E7A18">
        <w:t xml:space="preserve"> Prime’s</w:t>
      </w:r>
      <w:r>
        <w:t xml:space="preserve"> total award amount.   And, no, the Sub’s cap amount is not deducted from the Prime’s cap amount. </w:t>
      </w:r>
    </w:p>
    <w:p w14:paraId="7D727232" w14:textId="55A6F262" w:rsidR="003D7904" w:rsidRPr="003F1BCA" w:rsidRDefault="003D7904" w:rsidP="005F1101">
      <w:pPr>
        <w:pStyle w:val="EEREQAtabbed-extra"/>
        <w:ind w:left="720" w:hanging="540"/>
        <w:rPr>
          <w:b/>
          <w:bCs/>
        </w:rPr>
      </w:pPr>
      <w:r w:rsidRPr="006568A9">
        <w:rPr>
          <w:b/>
          <w:bCs/>
        </w:rPr>
        <w:t xml:space="preserve">Q:  </w:t>
      </w:r>
      <w:r>
        <w:rPr>
          <w:b/>
          <w:bCs/>
        </w:rPr>
        <w:tab/>
      </w:r>
      <w:r w:rsidR="00175F4F">
        <w:rPr>
          <w:b/>
          <w:bCs/>
        </w:rPr>
        <w:t xml:space="preserve">Can </w:t>
      </w:r>
      <w:r w:rsidR="00B7506A">
        <w:rPr>
          <w:b/>
          <w:bCs/>
        </w:rPr>
        <w:t xml:space="preserve">the overage of indirect costs </w:t>
      </w:r>
      <w:r w:rsidR="00175F4F">
        <w:rPr>
          <w:b/>
          <w:bCs/>
        </w:rPr>
        <w:t>be obligated to the award in anticipation of an enjoinment to the Policy Flashes</w:t>
      </w:r>
      <w:r w:rsidRPr="003F1BCA">
        <w:rPr>
          <w:b/>
          <w:bCs/>
        </w:rPr>
        <w:t>?</w:t>
      </w:r>
    </w:p>
    <w:p w14:paraId="70975954" w14:textId="4350C1B8" w:rsidR="00175F4F" w:rsidRDefault="003D7904" w:rsidP="00175F4F">
      <w:pPr>
        <w:pStyle w:val="EEREQAtabbedoption2"/>
        <w:ind w:left="720" w:hanging="540"/>
      </w:pPr>
      <w:r w:rsidRPr="6724D6CD">
        <w:rPr>
          <w:b/>
          <w:bCs/>
        </w:rPr>
        <w:t>A:</w:t>
      </w:r>
      <w:r>
        <w:t xml:space="preserve">  </w:t>
      </w:r>
      <w:r>
        <w:tab/>
      </w:r>
      <w:r w:rsidR="00175F4F">
        <w:t xml:space="preserve">No.  </w:t>
      </w:r>
      <w:r w:rsidR="00B7506A">
        <w:t>Obligating unallowable costs for programmatic purpose are</w:t>
      </w:r>
      <w:r w:rsidR="00175F4F">
        <w:t xml:space="preserve"> considered </w:t>
      </w:r>
      <w:r w:rsidR="00B7506A">
        <w:t xml:space="preserve">a contingency and unallowable. </w:t>
      </w:r>
    </w:p>
    <w:p w14:paraId="794AEA97" w14:textId="77777777" w:rsidR="00175F4F" w:rsidRPr="003F1BCA" w:rsidRDefault="00175F4F" w:rsidP="00175F4F">
      <w:pPr>
        <w:pStyle w:val="EEREQAtabbed-extra"/>
        <w:ind w:left="720" w:hanging="540"/>
        <w:rPr>
          <w:b/>
          <w:bCs/>
        </w:rPr>
      </w:pPr>
      <w:r w:rsidRPr="006568A9">
        <w:rPr>
          <w:b/>
          <w:bCs/>
        </w:rPr>
        <w:t xml:space="preserve">Q:  </w:t>
      </w:r>
      <w:r>
        <w:rPr>
          <w:b/>
          <w:bCs/>
        </w:rPr>
        <w:tab/>
      </w:r>
      <w:r w:rsidRPr="003D7904">
        <w:rPr>
          <w:b/>
          <w:bCs/>
        </w:rPr>
        <w:t xml:space="preserve">Are there circumstances in which the entity can </w:t>
      </w:r>
      <w:r>
        <w:rPr>
          <w:b/>
          <w:bCs/>
        </w:rPr>
        <w:t>request</w:t>
      </w:r>
      <w:r w:rsidRPr="003D7904">
        <w:rPr>
          <w:b/>
          <w:bCs/>
        </w:rPr>
        <w:t xml:space="preserve"> the </w:t>
      </w:r>
      <w:r>
        <w:rPr>
          <w:b/>
          <w:bCs/>
        </w:rPr>
        <w:t xml:space="preserve">percentage </w:t>
      </w:r>
      <w:r w:rsidRPr="003D7904">
        <w:rPr>
          <w:b/>
          <w:bCs/>
        </w:rPr>
        <w:t>cap</w:t>
      </w:r>
      <w:r>
        <w:rPr>
          <w:b/>
          <w:bCs/>
        </w:rPr>
        <w:t xml:space="preserve"> limitation be increased</w:t>
      </w:r>
      <w:r w:rsidRPr="003F1BCA">
        <w:rPr>
          <w:b/>
          <w:bCs/>
        </w:rPr>
        <w:t>?</w:t>
      </w:r>
    </w:p>
    <w:p w14:paraId="4A16A575" w14:textId="77777777" w:rsidR="00175F4F" w:rsidRDefault="00175F4F" w:rsidP="00175F4F">
      <w:pPr>
        <w:pStyle w:val="EEREQAtabbedoption2"/>
        <w:ind w:left="720" w:hanging="540"/>
      </w:pPr>
      <w:r w:rsidRPr="6724D6CD">
        <w:rPr>
          <w:b/>
          <w:bCs/>
        </w:rPr>
        <w:t>A:</w:t>
      </w:r>
      <w:r>
        <w:t xml:space="preserve">  </w:t>
      </w:r>
      <w:r>
        <w:tab/>
        <w:t>There may be unusual circumstances which the DOE will review on a case-by-case basis depending on the scope of effort.  Any deviations from the percentage cap limitation will require Energy Secretary approval through a request to the Grants Officer and the Head of Contracting Activity (HCA).</w:t>
      </w:r>
    </w:p>
    <w:p w14:paraId="3DCAF8CA" w14:textId="3A507A99" w:rsidR="00E238A9" w:rsidRDefault="00C71745" w:rsidP="006568A9">
      <w:pPr>
        <w:pStyle w:val="EEREHead02"/>
      </w:pPr>
      <w:bookmarkStart w:id="9" w:name="_Toc198636443"/>
      <w:bookmarkStart w:id="10" w:name="CalculationExamples"/>
      <w:r>
        <w:t xml:space="preserve">Calculation </w:t>
      </w:r>
      <w:r w:rsidR="00967897">
        <w:t xml:space="preserve">Narrative and </w:t>
      </w:r>
      <w:r>
        <w:t>Examples</w:t>
      </w:r>
      <w:bookmarkEnd w:id="9"/>
    </w:p>
    <w:bookmarkEnd w:id="10"/>
    <w:p w14:paraId="584EA4A2" w14:textId="1BF96A21" w:rsidR="00E238A9" w:rsidRDefault="00E238A9" w:rsidP="00C26DD3">
      <w:pPr>
        <w:pStyle w:val="EEREBodyTextsm"/>
      </w:pPr>
      <w:r>
        <w:t xml:space="preserve">The attached </w:t>
      </w:r>
      <w:r w:rsidR="00967897">
        <w:t xml:space="preserve">Narrative and </w:t>
      </w:r>
      <w:r>
        <w:t xml:space="preserve">Excel® </w:t>
      </w:r>
      <w:r w:rsidR="00C26DD3">
        <w:t>Worksheet</w:t>
      </w:r>
      <w:r w:rsidR="00967897">
        <w:t>s</w:t>
      </w:r>
      <w:r>
        <w:t xml:space="preserve"> contain </w:t>
      </w:r>
      <w:r w:rsidR="00E70E70">
        <w:t>instructions</w:t>
      </w:r>
      <w:r w:rsidR="00967897">
        <w:t xml:space="preserve"> and</w:t>
      </w:r>
      <w:r w:rsidR="00C25FC0">
        <w:t xml:space="preserve"> </w:t>
      </w:r>
      <w:r w:rsidR="00C26DD3">
        <w:t>examples of how the percentage of indirect costs are calculated against the total award costs.</w:t>
      </w:r>
    </w:p>
    <w:p w14:paraId="02192AC5" w14:textId="0F35527A" w:rsidR="00476FA5" w:rsidRDefault="00B7506A">
      <w:pPr>
        <w:spacing w:after="160" w:line="259" w:lineRule="auto"/>
        <w:rPr>
          <w:rFonts w:eastAsia="Times" w:cs="Arial"/>
          <w:color w:val="020079" w:themeColor="text1"/>
          <w:sz w:val="28"/>
        </w:rPr>
      </w:pPr>
      <w:r>
        <w:t xml:space="preserve">  </w:t>
      </w:r>
      <w:r w:rsidR="00422F8B">
        <w:tab/>
      </w:r>
      <w:r>
        <w:t xml:space="preserve">         </w:t>
      </w:r>
      <w:r w:rsidR="00A9350E">
        <w:t xml:space="preserve"> </w:t>
      </w:r>
      <w:r>
        <w:object w:dxaOrig="1505" w:dyaOrig="984" w14:anchorId="38F9E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7" o:title=""/>
          </v:shape>
          <o:OLEObject Type="Embed" ProgID="Acrobat.Document.DC" ShapeID="_x0000_i1025" DrawAspect="Icon" ObjectID="_1817879241" r:id="rId18"/>
        </w:object>
      </w:r>
      <w:r w:rsidR="00A9350E">
        <w:t xml:space="preserve">              </w:t>
      </w:r>
      <w:r w:rsidR="0043774D">
        <w:object w:dxaOrig="1505" w:dyaOrig="984" w14:anchorId="12662529">
          <v:shape id="_x0000_i1026" type="#_x0000_t75" style="width:75.75pt;height:48.75pt" o:ole="">
            <v:imagedata r:id="rId19" o:title=""/>
          </v:shape>
          <o:OLEObject Type="Embed" ProgID="Excel.Sheet.8" ShapeID="_x0000_i1026" DrawAspect="Icon" ObjectID="_1817879242" r:id="rId20"/>
        </w:object>
      </w:r>
      <w:r>
        <w:t xml:space="preserve">                </w:t>
      </w:r>
      <w:r>
        <w:object w:dxaOrig="1505" w:dyaOrig="984" w14:anchorId="562F3751">
          <v:shape id="_x0000_i1027" type="#_x0000_t75" style="width:75.75pt;height:48.75pt" o:ole="">
            <v:imagedata r:id="rId21" o:title=""/>
          </v:shape>
          <o:OLEObject Type="Embed" ProgID="Excel.Sheet.12" ShapeID="_x0000_i1027" DrawAspect="Icon" ObjectID="_1817879243" r:id="rId22"/>
        </w:object>
      </w:r>
      <w:bookmarkStart w:id="11" w:name="_Toc180045404"/>
      <w:r w:rsidR="00476FA5">
        <w:br w:type="page"/>
      </w:r>
    </w:p>
    <w:p w14:paraId="15F16D1E" w14:textId="63850B8E" w:rsidR="00A15CCD" w:rsidRPr="00A15CCD" w:rsidRDefault="00A15CCD" w:rsidP="00A15CCD">
      <w:pPr>
        <w:pStyle w:val="EEREHead02"/>
      </w:pPr>
      <w:bookmarkStart w:id="12" w:name="_Toc198636444"/>
      <w:r w:rsidRPr="00E33096">
        <w:lastRenderedPageBreak/>
        <w:t>Definitions and Acronyms</w:t>
      </w:r>
      <w:bookmarkEnd w:id="11"/>
      <w:bookmarkEnd w:id="12"/>
      <w:r w:rsidR="00C26DD3" w:rsidRPr="00E33096">
        <w:t xml:space="preserve"> </w:t>
      </w:r>
    </w:p>
    <w:tbl>
      <w:tblPr>
        <w:tblStyle w:val="EEREAquaBlueTable"/>
        <w:tblW w:w="0" w:type="auto"/>
        <w:tblCellMar>
          <w:top w:w="29" w:type="dxa"/>
        </w:tblCellMar>
        <w:tblLook w:val="04A0" w:firstRow="1" w:lastRow="0" w:firstColumn="1" w:lastColumn="0" w:noHBand="0" w:noVBand="1"/>
      </w:tblPr>
      <w:tblGrid>
        <w:gridCol w:w="3114"/>
        <w:gridCol w:w="1289"/>
        <w:gridCol w:w="4941"/>
      </w:tblGrid>
      <w:tr w:rsidR="009F14BE" w:rsidRPr="009F14BE" w14:paraId="56173CEB" w14:textId="77777777" w:rsidTr="6724D6CD">
        <w:trPr>
          <w:cnfStyle w:val="100000000000" w:firstRow="1" w:lastRow="0" w:firstColumn="0" w:lastColumn="0" w:oddVBand="0" w:evenVBand="0" w:oddHBand="0" w:evenHBand="0" w:firstRowFirstColumn="0" w:firstRowLastColumn="0" w:lastRowFirstColumn="0" w:lastRowLastColumn="0"/>
          <w:trHeight w:val="748"/>
          <w:tblHeader/>
        </w:trPr>
        <w:tc>
          <w:tcPr>
            <w:tcW w:w="3114" w:type="dxa"/>
            <w:shd w:val="clear" w:color="auto" w:fill="61A8FF"/>
          </w:tcPr>
          <w:p w14:paraId="69F3E329" w14:textId="77777777" w:rsidR="00A15CCD" w:rsidRPr="009F14BE" w:rsidRDefault="00A15CCD" w:rsidP="009F14BE">
            <w:pPr>
              <w:widowControl w:val="0"/>
              <w:tabs>
                <w:tab w:val="left" w:pos="1440"/>
              </w:tabs>
              <w:spacing w:before="38"/>
              <w:rPr>
                <w:rFonts w:cstheme="minorBidi"/>
                <w:spacing w:val="-1"/>
              </w:rPr>
            </w:pPr>
            <w:r w:rsidRPr="009F14BE">
              <w:rPr>
                <w:rFonts w:cstheme="minorBidi"/>
                <w:spacing w:val="-1"/>
              </w:rPr>
              <w:t>Reference</w:t>
            </w:r>
          </w:p>
        </w:tc>
        <w:tc>
          <w:tcPr>
            <w:tcW w:w="1289" w:type="dxa"/>
            <w:shd w:val="clear" w:color="auto" w:fill="61A8FF"/>
          </w:tcPr>
          <w:p w14:paraId="4C5E9A7C" w14:textId="1B247AE5" w:rsidR="00A15CCD" w:rsidRPr="009F14BE" w:rsidRDefault="00A15CCD" w:rsidP="009F14BE">
            <w:pPr>
              <w:widowControl w:val="0"/>
              <w:tabs>
                <w:tab w:val="left" w:pos="1440"/>
              </w:tabs>
              <w:spacing w:before="38"/>
              <w:rPr>
                <w:rFonts w:cstheme="minorBidi"/>
                <w:spacing w:val="-1"/>
              </w:rPr>
            </w:pPr>
            <w:r w:rsidRPr="009F14BE">
              <w:rPr>
                <w:rFonts w:cstheme="minorBidi"/>
                <w:spacing w:val="-1"/>
              </w:rPr>
              <w:t>Acronym</w:t>
            </w:r>
          </w:p>
        </w:tc>
        <w:tc>
          <w:tcPr>
            <w:tcW w:w="4941" w:type="dxa"/>
            <w:shd w:val="clear" w:color="auto" w:fill="61A8FF"/>
          </w:tcPr>
          <w:p w14:paraId="64596F7F" w14:textId="77777777" w:rsidR="00A15CCD" w:rsidRPr="009F14BE" w:rsidRDefault="00A15CCD" w:rsidP="009F14BE">
            <w:pPr>
              <w:widowControl w:val="0"/>
              <w:tabs>
                <w:tab w:val="left" w:pos="1440"/>
              </w:tabs>
              <w:spacing w:before="38"/>
              <w:rPr>
                <w:rFonts w:cstheme="minorBidi"/>
                <w:spacing w:val="-1"/>
              </w:rPr>
            </w:pPr>
            <w:r w:rsidRPr="009F14BE">
              <w:rPr>
                <w:rFonts w:cstheme="minorBidi"/>
                <w:spacing w:val="-1"/>
              </w:rPr>
              <w:t>Description</w:t>
            </w:r>
          </w:p>
        </w:tc>
      </w:tr>
      <w:tr w:rsidR="00503C36" w:rsidRPr="00503C36" w14:paraId="56499C6C"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3A0063B1" w14:textId="46C08503" w:rsidR="00503C36" w:rsidRPr="00586B46" w:rsidRDefault="00503C36" w:rsidP="00586B46">
            <w:pPr>
              <w:widowControl w:val="0"/>
              <w:tabs>
                <w:tab w:val="left" w:pos="1440"/>
              </w:tabs>
              <w:spacing w:before="38"/>
              <w:jc w:val="left"/>
              <w:rPr>
                <w:rFonts w:cstheme="minorBidi"/>
                <w:b/>
                <w:color w:val="D9D9D9" w:themeColor="background1" w:themeShade="D9"/>
                <w:spacing w:val="-1"/>
              </w:rPr>
            </w:pPr>
            <w:r>
              <w:rPr>
                <w:rFonts w:cstheme="minorBidi"/>
                <w:b/>
                <w:spacing w:val="-1"/>
              </w:rPr>
              <w:t>Burdened Rate</w:t>
            </w:r>
          </w:p>
        </w:tc>
        <w:tc>
          <w:tcPr>
            <w:tcW w:w="1289" w:type="dxa"/>
          </w:tcPr>
          <w:p w14:paraId="3BFD59B0" w14:textId="6AB5B0A1" w:rsidR="00503C36" w:rsidRPr="00586B46" w:rsidRDefault="00503C36">
            <w:pPr>
              <w:widowControl w:val="0"/>
              <w:tabs>
                <w:tab w:val="left" w:pos="1440"/>
              </w:tabs>
              <w:spacing w:before="38"/>
              <w:jc w:val="both"/>
              <w:rPr>
                <w:rFonts w:cstheme="minorBidi"/>
                <w:color w:val="D9D9D9" w:themeColor="background1" w:themeShade="D9"/>
                <w:spacing w:val="-1"/>
              </w:rPr>
            </w:pPr>
            <w:r w:rsidRPr="006717BF">
              <w:rPr>
                <w:rFonts w:cstheme="minorBidi"/>
                <w:spacing w:val="-1"/>
              </w:rPr>
              <w:t>None</w:t>
            </w:r>
          </w:p>
        </w:tc>
        <w:tc>
          <w:tcPr>
            <w:tcW w:w="4941" w:type="dxa"/>
          </w:tcPr>
          <w:p w14:paraId="01668D5B" w14:textId="60D08977" w:rsidR="00503C36" w:rsidRPr="00586B46" w:rsidRDefault="00503C36" w:rsidP="00586B46">
            <w:pPr>
              <w:widowControl w:val="0"/>
              <w:tabs>
                <w:tab w:val="left" w:pos="1440"/>
              </w:tabs>
              <w:spacing w:before="38"/>
              <w:jc w:val="left"/>
              <w:rPr>
                <w:rFonts w:cstheme="minorBidi"/>
                <w:color w:val="D9D9D9" w:themeColor="background1" w:themeShade="D9"/>
                <w:spacing w:val="-1"/>
              </w:rPr>
            </w:pPr>
            <w:r w:rsidRPr="00A319D9">
              <w:rPr>
                <w:rFonts w:cstheme="minorBidi"/>
                <w:spacing w:val="-1"/>
              </w:rPr>
              <w:t xml:space="preserve">A burdened rate refers to the total cost of employing a worker per hour, including not just their </w:t>
            </w:r>
            <w:r>
              <w:rPr>
                <w:rFonts w:cstheme="minorBidi"/>
                <w:spacing w:val="-1"/>
              </w:rPr>
              <w:t>direct</w:t>
            </w:r>
            <w:r w:rsidRPr="00A319D9">
              <w:rPr>
                <w:rFonts w:cstheme="minorBidi"/>
                <w:spacing w:val="-1"/>
              </w:rPr>
              <w:t xml:space="preserve"> wage but also all associated </w:t>
            </w:r>
            <w:r>
              <w:rPr>
                <w:rFonts w:cstheme="minorBidi"/>
                <w:spacing w:val="-1"/>
              </w:rPr>
              <w:t xml:space="preserve">labor </w:t>
            </w:r>
            <w:r w:rsidRPr="00A319D9">
              <w:rPr>
                <w:rFonts w:cstheme="minorBidi"/>
                <w:spacing w:val="-1"/>
              </w:rPr>
              <w:t>costs like taxes, benefits, insurance, training, and other indirect expenses</w:t>
            </w:r>
            <w:r w:rsidR="006717BF">
              <w:rPr>
                <w:rFonts w:cstheme="minorBidi"/>
                <w:spacing w:val="-1"/>
              </w:rPr>
              <w:t>.</w:t>
            </w:r>
          </w:p>
        </w:tc>
      </w:tr>
      <w:tr w:rsidR="00A15CCD" w14:paraId="6EB72C38" w14:textId="77777777" w:rsidTr="6724D6CD">
        <w:tc>
          <w:tcPr>
            <w:tcW w:w="3114" w:type="dxa"/>
          </w:tcPr>
          <w:p w14:paraId="12034C89"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Code of Federal Regulations</w:t>
            </w:r>
          </w:p>
        </w:tc>
        <w:tc>
          <w:tcPr>
            <w:tcW w:w="1289" w:type="dxa"/>
          </w:tcPr>
          <w:p w14:paraId="239BE509" w14:textId="77777777" w:rsidR="00A15CCD" w:rsidRDefault="00A15CCD">
            <w:pPr>
              <w:widowControl w:val="0"/>
              <w:tabs>
                <w:tab w:val="left" w:pos="1440"/>
              </w:tabs>
              <w:spacing w:before="38"/>
              <w:jc w:val="both"/>
              <w:rPr>
                <w:rFonts w:cstheme="minorBidi"/>
                <w:spacing w:val="-1"/>
              </w:rPr>
            </w:pPr>
            <w:r>
              <w:rPr>
                <w:rFonts w:cstheme="minorBidi"/>
                <w:spacing w:val="-1"/>
              </w:rPr>
              <w:t>CFR</w:t>
            </w:r>
          </w:p>
        </w:tc>
        <w:tc>
          <w:tcPr>
            <w:tcW w:w="4941" w:type="dxa"/>
          </w:tcPr>
          <w:p w14:paraId="2EAE45C4" w14:textId="2DBA1D09" w:rsidR="00A15CCD" w:rsidRDefault="00A15CCD" w:rsidP="009F14BE">
            <w:pPr>
              <w:widowControl w:val="0"/>
              <w:tabs>
                <w:tab w:val="left" w:pos="1440"/>
              </w:tabs>
              <w:spacing w:before="38"/>
              <w:jc w:val="left"/>
              <w:rPr>
                <w:rFonts w:cstheme="minorBidi"/>
                <w:spacing w:val="-1"/>
              </w:rPr>
            </w:pPr>
            <w:r>
              <w:rPr>
                <w:rFonts w:cstheme="minorBidi"/>
                <w:spacing w:val="-1"/>
              </w:rPr>
              <w:t>T</w:t>
            </w:r>
            <w:r w:rsidRPr="00F71E9B">
              <w:rPr>
                <w:rFonts w:cstheme="minorBidi"/>
                <w:spacing w:val="-1"/>
              </w:rPr>
              <w:t>he</w:t>
            </w:r>
            <w:r>
              <w:rPr>
                <w:rFonts w:cstheme="minorBidi"/>
                <w:spacing w:val="-1"/>
              </w:rPr>
              <w:t xml:space="preserve"> CFR </w:t>
            </w:r>
            <w:r w:rsidRPr="00F71E9B">
              <w:rPr>
                <w:rFonts w:cstheme="minorBidi"/>
                <w:spacing w:val="-1"/>
              </w:rPr>
              <w:t xml:space="preserve">is the codification of the general regulations </w:t>
            </w:r>
            <w:r>
              <w:rPr>
                <w:rFonts w:cstheme="minorBidi"/>
                <w:spacing w:val="-1"/>
              </w:rPr>
              <w:t>publicized</w:t>
            </w:r>
            <w:r w:rsidRPr="00F71E9B">
              <w:rPr>
                <w:rFonts w:cstheme="minorBidi"/>
                <w:spacing w:val="-1"/>
              </w:rPr>
              <w:t xml:space="preserve"> by the executive departments and agencies of the </w:t>
            </w:r>
            <w:r>
              <w:rPr>
                <w:rFonts w:cstheme="minorBidi"/>
                <w:spacing w:val="-1"/>
              </w:rPr>
              <w:t>F</w:t>
            </w:r>
            <w:r w:rsidRPr="00F71E9B">
              <w:rPr>
                <w:rFonts w:cstheme="minorBidi"/>
                <w:spacing w:val="-1"/>
              </w:rPr>
              <w:t xml:space="preserve">ederal </w:t>
            </w:r>
            <w:r>
              <w:rPr>
                <w:rFonts w:cstheme="minorBidi"/>
                <w:spacing w:val="-1"/>
              </w:rPr>
              <w:t>G</w:t>
            </w:r>
            <w:r w:rsidRPr="00F71E9B">
              <w:rPr>
                <w:rFonts w:cstheme="minorBidi"/>
                <w:spacing w:val="-1"/>
              </w:rPr>
              <w:t>overnment</w:t>
            </w:r>
            <w:r w:rsidR="00967897">
              <w:rPr>
                <w:rFonts w:cstheme="minorBidi"/>
                <w:spacing w:val="-1"/>
              </w:rPr>
              <w:t>.</w:t>
            </w:r>
          </w:p>
        </w:tc>
      </w:tr>
      <w:tr w:rsidR="00A15CCD" w14:paraId="439359D1"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04284D25"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Cognizant Federal Agency</w:t>
            </w:r>
          </w:p>
        </w:tc>
        <w:tc>
          <w:tcPr>
            <w:tcW w:w="1289" w:type="dxa"/>
          </w:tcPr>
          <w:p w14:paraId="19242E08" w14:textId="77777777" w:rsidR="00A15CCD" w:rsidRDefault="00A15CCD">
            <w:pPr>
              <w:widowControl w:val="0"/>
              <w:tabs>
                <w:tab w:val="left" w:pos="1440"/>
              </w:tabs>
              <w:spacing w:before="38"/>
              <w:jc w:val="both"/>
              <w:rPr>
                <w:rFonts w:cstheme="minorBidi"/>
                <w:spacing w:val="-1"/>
              </w:rPr>
            </w:pPr>
            <w:r>
              <w:rPr>
                <w:rFonts w:cstheme="minorBidi"/>
                <w:spacing w:val="-1"/>
              </w:rPr>
              <w:t>CFA</w:t>
            </w:r>
          </w:p>
        </w:tc>
        <w:tc>
          <w:tcPr>
            <w:tcW w:w="4941" w:type="dxa"/>
          </w:tcPr>
          <w:p w14:paraId="1C06951E" w14:textId="77777777" w:rsidR="00A15CCD" w:rsidRDefault="00A15CCD" w:rsidP="009F14BE">
            <w:pPr>
              <w:widowControl w:val="0"/>
              <w:tabs>
                <w:tab w:val="left" w:pos="1440"/>
              </w:tabs>
              <w:spacing w:before="38"/>
              <w:jc w:val="left"/>
              <w:rPr>
                <w:rFonts w:cstheme="minorBidi"/>
                <w:spacing w:val="-1"/>
              </w:rPr>
            </w:pPr>
            <w:r>
              <w:rPr>
                <w:rFonts w:cstheme="minorBidi"/>
                <w:spacing w:val="-1"/>
              </w:rPr>
              <w:t>Federal Agency which provides the greatest amount of Federal funds to an organization.</w:t>
            </w:r>
          </w:p>
        </w:tc>
      </w:tr>
      <w:tr w:rsidR="00A15CCD" w14:paraId="07A34649" w14:textId="77777777" w:rsidTr="6724D6CD">
        <w:tc>
          <w:tcPr>
            <w:tcW w:w="3114" w:type="dxa"/>
          </w:tcPr>
          <w:p w14:paraId="7B951ED5"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Direct Cost</w:t>
            </w:r>
          </w:p>
        </w:tc>
        <w:tc>
          <w:tcPr>
            <w:tcW w:w="1289" w:type="dxa"/>
          </w:tcPr>
          <w:p w14:paraId="22CCB9E8" w14:textId="77777777" w:rsidR="00A15CCD" w:rsidRDefault="00A15CCD">
            <w:pPr>
              <w:widowControl w:val="0"/>
              <w:tabs>
                <w:tab w:val="left" w:pos="1440"/>
              </w:tabs>
              <w:spacing w:before="38"/>
              <w:jc w:val="both"/>
              <w:rPr>
                <w:rFonts w:cstheme="minorBidi"/>
                <w:spacing w:val="-1"/>
              </w:rPr>
            </w:pPr>
            <w:r>
              <w:rPr>
                <w:rFonts w:cstheme="minorBidi"/>
                <w:spacing w:val="-1"/>
              </w:rPr>
              <w:t>None</w:t>
            </w:r>
          </w:p>
        </w:tc>
        <w:tc>
          <w:tcPr>
            <w:tcW w:w="4941" w:type="dxa"/>
          </w:tcPr>
          <w:p w14:paraId="2304BBBF" w14:textId="78A52B23" w:rsidR="00A15CCD" w:rsidRDefault="00A15CCD" w:rsidP="6724D6CD">
            <w:pPr>
              <w:widowControl w:val="0"/>
              <w:tabs>
                <w:tab w:val="left" w:pos="1440"/>
              </w:tabs>
              <w:spacing w:before="38"/>
              <w:jc w:val="left"/>
              <w:rPr>
                <w:rFonts w:cstheme="minorBidi"/>
                <w:spacing w:val="-1"/>
              </w:rPr>
            </w:pPr>
            <w:r w:rsidRPr="6724D6CD">
              <w:rPr>
                <w:rFonts w:cstheme="minorBidi"/>
                <w:spacing w:val="-1"/>
              </w:rPr>
              <w:t>Costs that can be identified specifically to a particular final cost objective, such as the Federal award</w:t>
            </w:r>
            <w:r w:rsidR="6DA7635B" w:rsidRPr="6724D6CD">
              <w:rPr>
                <w:rFonts w:cstheme="minorBidi"/>
                <w:spacing w:val="-1"/>
              </w:rPr>
              <w:t>.</w:t>
            </w:r>
          </w:p>
        </w:tc>
      </w:tr>
      <w:tr w:rsidR="00A15CCD" w14:paraId="754EA1E4"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1DCC2554"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Federal Acquisition Regulation</w:t>
            </w:r>
          </w:p>
        </w:tc>
        <w:tc>
          <w:tcPr>
            <w:tcW w:w="1289" w:type="dxa"/>
          </w:tcPr>
          <w:p w14:paraId="3BC0D3F1" w14:textId="77777777" w:rsidR="00A15CCD" w:rsidRDefault="00A15CCD">
            <w:pPr>
              <w:widowControl w:val="0"/>
              <w:tabs>
                <w:tab w:val="left" w:pos="1440"/>
              </w:tabs>
              <w:spacing w:before="38"/>
              <w:jc w:val="both"/>
              <w:rPr>
                <w:rFonts w:cstheme="minorBidi"/>
                <w:spacing w:val="-1"/>
              </w:rPr>
            </w:pPr>
            <w:r>
              <w:rPr>
                <w:rFonts w:cstheme="minorBidi"/>
                <w:spacing w:val="-1"/>
              </w:rPr>
              <w:t>FAR</w:t>
            </w:r>
          </w:p>
        </w:tc>
        <w:tc>
          <w:tcPr>
            <w:tcW w:w="4941" w:type="dxa"/>
          </w:tcPr>
          <w:p w14:paraId="6F8FA8E1" w14:textId="022F8754" w:rsidR="00A15CCD" w:rsidRDefault="00A15CCD" w:rsidP="009F14BE">
            <w:pPr>
              <w:widowControl w:val="0"/>
              <w:tabs>
                <w:tab w:val="left" w:pos="1440"/>
              </w:tabs>
              <w:spacing w:before="38"/>
              <w:jc w:val="left"/>
              <w:rPr>
                <w:rFonts w:cstheme="minorBidi"/>
                <w:spacing w:val="-1"/>
              </w:rPr>
            </w:pPr>
            <w:r>
              <w:rPr>
                <w:rFonts w:cstheme="minorBidi"/>
                <w:spacing w:val="-1"/>
              </w:rPr>
              <w:t>For Financial Assistance, for-profit organizations are governed by the FAR Cost Principles under FAR Part 31.2</w:t>
            </w:r>
            <w:r w:rsidR="006717BF">
              <w:rPr>
                <w:rFonts w:cstheme="minorBidi"/>
                <w:spacing w:val="-1"/>
              </w:rPr>
              <w:t xml:space="preserve"> and applicable audit rules under Part 42.7.</w:t>
            </w:r>
          </w:p>
        </w:tc>
      </w:tr>
      <w:tr w:rsidR="6724D6CD" w14:paraId="38460298" w14:textId="77777777" w:rsidTr="6724D6CD">
        <w:trPr>
          <w:trHeight w:val="300"/>
        </w:trPr>
        <w:tc>
          <w:tcPr>
            <w:tcW w:w="3114" w:type="dxa"/>
          </w:tcPr>
          <w:p w14:paraId="4F98080A" w14:textId="0A6C9E51" w:rsidR="2CC1AFEA" w:rsidRDefault="2CC1AFEA" w:rsidP="6724D6CD">
            <w:pPr>
              <w:jc w:val="left"/>
              <w:rPr>
                <w:rFonts w:cstheme="minorBidi"/>
                <w:b/>
                <w:bCs/>
              </w:rPr>
            </w:pPr>
            <w:r w:rsidRPr="6724D6CD">
              <w:rPr>
                <w:rFonts w:cstheme="minorBidi"/>
                <w:b/>
                <w:bCs/>
              </w:rPr>
              <w:t>Head of Contracting Activity</w:t>
            </w:r>
          </w:p>
        </w:tc>
        <w:tc>
          <w:tcPr>
            <w:tcW w:w="1289" w:type="dxa"/>
          </w:tcPr>
          <w:p w14:paraId="348C0CB1" w14:textId="5539782B" w:rsidR="2CC1AFEA" w:rsidRDefault="2CC1AFEA" w:rsidP="6724D6CD">
            <w:pPr>
              <w:jc w:val="both"/>
              <w:rPr>
                <w:rFonts w:cstheme="minorBidi"/>
              </w:rPr>
            </w:pPr>
            <w:r w:rsidRPr="6724D6CD">
              <w:rPr>
                <w:rFonts w:cstheme="minorBidi"/>
              </w:rPr>
              <w:t>HCA</w:t>
            </w:r>
          </w:p>
        </w:tc>
        <w:tc>
          <w:tcPr>
            <w:tcW w:w="4941" w:type="dxa"/>
          </w:tcPr>
          <w:p w14:paraId="6CD87A90" w14:textId="64ADCCBF" w:rsidR="2CC1AFEA" w:rsidRDefault="2CC1AFEA" w:rsidP="6724D6CD">
            <w:pPr>
              <w:jc w:val="left"/>
              <w:rPr>
                <w:rFonts w:cstheme="minorBidi"/>
              </w:rPr>
            </w:pPr>
            <w:r w:rsidRPr="6724D6CD">
              <w:rPr>
                <w:rFonts w:cstheme="minorBidi"/>
              </w:rPr>
              <w:t>Senior official responsible for managing contracting functions within the Agency.</w:t>
            </w:r>
          </w:p>
        </w:tc>
      </w:tr>
      <w:tr w:rsidR="00A15CCD" w14:paraId="77FDF80F"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1B65D494"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Indirect Costs</w:t>
            </w:r>
          </w:p>
        </w:tc>
        <w:tc>
          <w:tcPr>
            <w:tcW w:w="1289" w:type="dxa"/>
          </w:tcPr>
          <w:p w14:paraId="2C98F607" w14:textId="77777777" w:rsidR="00A15CCD" w:rsidRDefault="00A15CCD">
            <w:pPr>
              <w:widowControl w:val="0"/>
              <w:tabs>
                <w:tab w:val="left" w:pos="1440"/>
              </w:tabs>
              <w:spacing w:before="38"/>
              <w:jc w:val="both"/>
              <w:rPr>
                <w:rFonts w:cstheme="minorBidi"/>
                <w:spacing w:val="-1"/>
              </w:rPr>
            </w:pPr>
            <w:r>
              <w:rPr>
                <w:rFonts w:cstheme="minorBidi"/>
                <w:spacing w:val="-1"/>
              </w:rPr>
              <w:t>IDCs</w:t>
            </w:r>
          </w:p>
        </w:tc>
        <w:tc>
          <w:tcPr>
            <w:tcW w:w="4941" w:type="dxa"/>
          </w:tcPr>
          <w:p w14:paraId="0323303B" w14:textId="77777777" w:rsidR="00A15CCD" w:rsidRDefault="00A15CCD" w:rsidP="009F14BE">
            <w:pPr>
              <w:widowControl w:val="0"/>
              <w:tabs>
                <w:tab w:val="left" w:pos="1440"/>
              </w:tabs>
              <w:spacing w:before="38"/>
              <w:jc w:val="left"/>
              <w:rPr>
                <w:rFonts w:cstheme="minorBidi"/>
                <w:spacing w:val="-1"/>
              </w:rPr>
            </w:pPr>
            <w:r>
              <w:rPr>
                <w:rFonts w:cstheme="minorBidi"/>
                <w:spacing w:val="-1"/>
              </w:rPr>
              <w:t>C</w:t>
            </w:r>
            <w:r w:rsidRPr="002D7DA7">
              <w:rPr>
                <w:rFonts w:cstheme="minorBidi"/>
                <w:spacing w:val="-1"/>
              </w:rPr>
              <w:t>osts for a common or joint purpose benefitting more than one cost objective</w:t>
            </w:r>
            <w:r>
              <w:rPr>
                <w:rFonts w:cstheme="minorBidi"/>
                <w:spacing w:val="-1"/>
              </w:rPr>
              <w:t>, such as the Federal award or other funded activity.</w:t>
            </w:r>
          </w:p>
        </w:tc>
      </w:tr>
      <w:tr w:rsidR="00A15CCD" w14:paraId="21195460" w14:textId="77777777" w:rsidTr="6724D6CD">
        <w:tc>
          <w:tcPr>
            <w:tcW w:w="3114" w:type="dxa"/>
          </w:tcPr>
          <w:p w14:paraId="6522533B"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 xml:space="preserve">Indirect Rate Proposal </w:t>
            </w:r>
          </w:p>
        </w:tc>
        <w:tc>
          <w:tcPr>
            <w:tcW w:w="1289" w:type="dxa"/>
          </w:tcPr>
          <w:p w14:paraId="70DFF20C" w14:textId="77777777" w:rsidR="00A15CCD" w:rsidRDefault="00A15CCD">
            <w:pPr>
              <w:widowControl w:val="0"/>
              <w:tabs>
                <w:tab w:val="left" w:pos="1440"/>
              </w:tabs>
              <w:spacing w:before="38"/>
              <w:jc w:val="both"/>
              <w:rPr>
                <w:rFonts w:cstheme="minorBidi"/>
                <w:spacing w:val="-1"/>
              </w:rPr>
            </w:pPr>
            <w:r>
              <w:rPr>
                <w:rFonts w:cstheme="minorBidi"/>
                <w:spacing w:val="-1"/>
              </w:rPr>
              <w:t>IRP</w:t>
            </w:r>
          </w:p>
        </w:tc>
        <w:tc>
          <w:tcPr>
            <w:tcW w:w="4941" w:type="dxa"/>
          </w:tcPr>
          <w:p w14:paraId="5A559A9D" w14:textId="77777777" w:rsidR="00A15CCD" w:rsidRDefault="00A15CCD" w:rsidP="009F14BE">
            <w:pPr>
              <w:widowControl w:val="0"/>
              <w:tabs>
                <w:tab w:val="left" w:pos="1440"/>
              </w:tabs>
              <w:spacing w:before="38"/>
              <w:jc w:val="left"/>
              <w:rPr>
                <w:rFonts w:cstheme="minorBidi"/>
                <w:spacing w:val="-1"/>
              </w:rPr>
            </w:pPr>
            <w:r>
              <w:rPr>
                <w:rFonts w:cstheme="minorBidi"/>
                <w:spacing w:val="-1"/>
              </w:rPr>
              <w:t xml:space="preserve">Supporting documentation, which is reviewed by the Cognizant Federal Agency, to approve and establish an organization’s indirect rates for estimation and billing purposes on each Federal award.  </w:t>
            </w:r>
          </w:p>
        </w:tc>
      </w:tr>
      <w:tr w:rsidR="00A15CCD" w14:paraId="7409B720"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76E76881"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Negotiated Indirect Cost Rate Agreement (Rate Agreement)</w:t>
            </w:r>
          </w:p>
        </w:tc>
        <w:tc>
          <w:tcPr>
            <w:tcW w:w="1289" w:type="dxa"/>
          </w:tcPr>
          <w:p w14:paraId="26A12336" w14:textId="77777777" w:rsidR="00A15CCD" w:rsidRDefault="00A15CCD">
            <w:pPr>
              <w:widowControl w:val="0"/>
              <w:tabs>
                <w:tab w:val="left" w:pos="1440"/>
              </w:tabs>
              <w:spacing w:before="38"/>
              <w:jc w:val="both"/>
              <w:rPr>
                <w:rFonts w:cstheme="minorBidi"/>
                <w:spacing w:val="-1"/>
              </w:rPr>
            </w:pPr>
            <w:r>
              <w:rPr>
                <w:rFonts w:cstheme="minorBidi"/>
                <w:spacing w:val="-1"/>
              </w:rPr>
              <w:t>NICRA</w:t>
            </w:r>
          </w:p>
        </w:tc>
        <w:tc>
          <w:tcPr>
            <w:tcW w:w="4941" w:type="dxa"/>
          </w:tcPr>
          <w:p w14:paraId="0ED09C52" w14:textId="06B1A26B" w:rsidR="00A15CCD" w:rsidRDefault="00A15CCD" w:rsidP="009F14BE">
            <w:pPr>
              <w:widowControl w:val="0"/>
              <w:tabs>
                <w:tab w:val="left" w:pos="1440"/>
              </w:tabs>
              <w:spacing w:before="38"/>
              <w:jc w:val="left"/>
              <w:rPr>
                <w:rFonts w:cstheme="minorBidi"/>
                <w:spacing w:val="-1"/>
              </w:rPr>
            </w:pPr>
            <w:r>
              <w:rPr>
                <w:rFonts w:cstheme="minorBidi"/>
                <w:spacing w:val="-1"/>
              </w:rPr>
              <w:t xml:space="preserve">Official, CFA approved agreement for indirect cost rates which apply to all Federal awards.  </w:t>
            </w:r>
          </w:p>
        </w:tc>
      </w:tr>
      <w:tr w:rsidR="00A15CCD" w14:paraId="7CC4ED23" w14:textId="77777777" w:rsidTr="6724D6CD">
        <w:tc>
          <w:tcPr>
            <w:tcW w:w="3114" w:type="dxa"/>
          </w:tcPr>
          <w:p w14:paraId="14950BB7"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Recipient</w:t>
            </w:r>
          </w:p>
        </w:tc>
        <w:tc>
          <w:tcPr>
            <w:tcW w:w="1289" w:type="dxa"/>
          </w:tcPr>
          <w:p w14:paraId="34EF161E" w14:textId="77777777" w:rsidR="00A15CCD" w:rsidRDefault="00A15CCD">
            <w:pPr>
              <w:widowControl w:val="0"/>
              <w:tabs>
                <w:tab w:val="left" w:pos="1440"/>
              </w:tabs>
              <w:spacing w:before="38"/>
              <w:jc w:val="both"/>
              <w:rPr>
                <w:rFonts w:cstheme="minorBidi"/>
                <w:spacing w:val="-1"/>
              </w:rPr>
            </w:pPr>
            <w:r>
              <w:rPr>
                <w:rFonts w:cstheme="minorBidi"/>
                <w:spacing w:val="-1"/>
              </w:rPr>
              <w:t>None</w:t>
            </w:r>
          </w:p>
        </w:tc>
        <w:tc>
          <w:tcPr>
            <w:tcW w:w="4941" w:type="dxa"/>
          </w:tcPr>
          <w:p w14:paraId="53303DEF" w14:textId="77777777" w:rsidR="00A15CCD" w:rsidRDefault="00A15CCD" w:rsidP="009F14BE">
            <w:pPr>
              <w:widowControl w:val="0"/>
              <w:tabs>
                <w:tab w:val="left" w:pos="1440"/>
              </w:tabs>
              <w:spacing w:before="38"/>
              <w:jc w:val="left"/>
              <w:rPr>
                <w:rFonts w:cstheme="minorBidi"/>
                <w:spacing w:val="-1"/>
              </w:rPr>
            </w:pPr>
            <w:r>
              <w:rPr>
                <w:rFonts w:cstheme="minorBidi"/>
                <w:spacing w:val="-1"/>
              </w:rPr>
              <w:t>The organization named as the awardee that signs the Financial Assistance agreement and receives Federal funds under the financial assistance award.</w:t>
            </w:r>
          </w:p>
        </w:tc>
      </w:tr>
      <w:tr w:rsidR="00A15CCD" w14:paraId="761005E8" w14:textId="77777777" w:rsidTr="6724D6CD">
        <w:trPr>
          <w:cnfStyle w:val="000000100000" w:firstRow="0" w:lastRow="0" w:firstColumn="0" w:lastColumn="0" w:oddVBand="0" w:evenVBand="0" w:oddHBand="1" w:evenHBand="0" w:firstRowFirstColumn="0" w:firstRowLastColumn="0" w:lastRowFirstColumn="0" w:lastRowLastColumn="0"/>
        </w:trPr>
        <w:tc>
          <w:tcPr>
            <w:tcW w:w="3114" w:type="dxa"/>
          </w:tcPr>
          <w:p w14:paraId="20FA3DFC" w14:textId="77777777" w:rsidR="00A15CCD" w:rsidRPr="009F14BE" w:rsidRDefault="00A15CCD" w:rsidP="00A15CCD">
            <w:pPr>
              <w:widowControl w:val="0"/>
              <w:tabs>
                <w:tab w:val="left" w:pos="1440"/>
              </w:tabs>
              <w:spacing w:before="38"/>
              <w:jc w:val="left"/>
              <w:rPr>
                <w:rFonts w:cstheme="minorBidi"/>
                <w:b/>
                <w:spacing w:val="-1"/>
              </w:rPr>
            </w:pPr>
            <w:r w:rsidRPr="009F14BE">
              <w:rPr>
                <w:rFonts w:cstheme="minorBidi"/>
                <w:b/>
                <w:spacing w:val="-1"/>
              </w:rPr>
              <w:t>Subrecipient</w:t>
            </w:r>
          </w:p>
        </w:tc>
        <w:tc>
          <w:tcPr>
            <w:tcW w:w="1289" w:type="dxa"/>
          </w:tcPr>
          <w:p w14:paraId="3B28B71A" w14:textId="77777777" w:rsidR="00A15CCD" w:rsidRDefault="00A15CCD">
            <w:pPr>
              <w:widowControl w:val="0"/>
              <w:tabs>
                <w:tab w:val="left" w:pos="1440"/>
              </w:tabs>
              <w:spacing w:before="38"/>
              <w:jc w:val="both"/>
              <w:rPr>
                <w:rFonts w:cstheme="minorBidi"/>
                <w:spacing w:val="-1"/>
              </w:rPr>
            </w:pPr>
            <w:r>
              <w:rPr>
                <w:rFonts w:cstheme="minorBidi"/>
                <w:spacing w:val="-1"/>
              </w:rPr>
              <w:t>None</w:t>
            </w:r>
          </w:p>
        </w:tc>
        <w:tc>
          <w:tcPr>
            <w:tcW w:w="4941" w:type="dxa"/>
          </w:tcPr>
          <w:p w14:paraId="24053005" w14:textId="77777777" w:rsidR="00A15CCD" w:rsidRDefault="00A15CCD" w:rsidP="009F14BE">
            <w:pPr>
              <w:widowControl w:val="0"/>
              <w:tabs>
                <w:tab w:val="left" w:pos="1440"/>
              </w:tabs>
              <w:spacing w:before="38"/>
              <w:jc w:val="left"/>
              <w:rPr>
                <w:rFonts w:cstheme="minorBidi"/>
                <w:spacing w:val="-1"/>
              </w:rPr>
            </w:pPr>
            <w:r>
              <w:rPr>
                <w:rFonts w:cstheme="minorBidi"/>
                <w:spacing w:val="-1"/>
              </w:rPr>
              <w:t>An</w:t>
            </w:r>
            <w:r w:rsidRPr="00461520">
              <w:rPr>
                <w:rFonts w:cstheme="minorBidi"/>
                <w:spacing w:val="-1"/>
              </w:rPr>
              <w:t xml:space="preserve"> entity that receives a subaward from a pass-through entity </w:t>
            </w:r>
            <w:r>
              <w:rPr>
                <w:rFonts w:cstheme="minorBidi"/>
                <w:spacing w:val="-1"/>
              </w:rPr>
              <w:t xml:space="preserve">(Recipient or Subrecipient) </w:t>
            </w:r>
            <w:r w:rsidRPr="00461520">
              <w:rPr>
                <w:rFonts w:cstheme="minorBidi"/>
                <w:spacing w:val="-1"/>
              </w:rPr>
              <w:t>to c</w:t>
            </w:r>
            <w:r>
              <w:rPr>
                <w:rFonts w:cstheme="minorBidi"/>
                <w:spacing w:val="-1"/>
              </w:rPr>
              <w:t xml:space="preserve">ontribute to the goals and objectives of the project. </w:t>
            </w:r>
          </w:p>
        </w:tc>
      </w:tr>
    </w:tbl>
    <w:p w14:paraId="6ED4D915" w14:textId="77777777" w:rsidR="00E238A9" w:rsidRPr="00E21678" w:rsidRDefault="00E238A9" w:rsidP="00967897">
      <w:pPr>
        <w:pStyle w:val="EEREBodyTextsm"/>
      </w:pPr>
    </w:p>
    <w:sectPr w:rsidR="00E238A9" w:rsidRPr="00E21678" w:rsidSect="00967897">
      <w:footerReference w:type="default" r:id="rId23"/>
      <w:headerReference w:type="first" r:id="rId24"/>
      <w:footerReference w:type="first" r:id="rId25"/>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66E5" w14:textId="77777777" w:rsidR="008C6074" w:rsidRDefault="008C6074" w:rsidP="009F10B9">
      <w:pPr>
        <w:spacing w:after="0" w:line="240" w:lineRule="auto"/>
      </w:pPr>
      <w:r>
        <w:separator/>
      </w:r>
    </w:p>
    <w:p w14:paraId="482F3D73" w14:textId="77777777" w:rsidR="008C6074" w:rsidRDefault="008C6074"/>
  </w:endnote>
  <w:endnote w:type="continuationSeparator" w:id="0">
    <w:p w14:paraId="7F3B6371" w14:textId="77777777" w:rsidR="008C6074" w:rsidRDefault="008C6074" w:rsidP="009F10B9">
      <w:pPr>
        <w:spacing w:after="0" w:line="240" w:lineRule="auto"/>
      </w:pPr>
      <w:r>
        <w:continuationSeparator/>
      </w:r>
    </w:p>
    <w:p w14:paraId="2462E881" w14:textId="77777777" w:rsidR="008C6074" w:rsidRDefault="008C6074"/>
  </w:endnote>
  <w:endnote w:type="continuationNotice" w:id="1">
    <w:p w14:paraId="673B9B7F" w14:textId="77777777" w:rsidR="008C6074" w:rsidRDefault="008C6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ITC Franklin Gothic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C6C6" w14:textId="613D7239" w:rsidR="009F14BE" w:rsidRPr="00967897" w:rsidRDefault="009F14BE" w:rsidP="009F14BE">
    <w:pPr>
      <w:pStyle w:val="EERETableBodyCentered"/>
      <w:rPr>
        <w:sz w:val="18"/>
        <w:szCs w:val="18"/>
      </w:rPr>
    </w:pPr>
    <w:r w:rsidRPr="00967897">
      <w:rPr>
        <w:sz w:val="18"/>
        <w:szCs w:val="18"/>
      </w:rPr>
      <w:t xml:space="preserve">Page </w:t>
    </w:r>
    <w:r w:rsidRPr="00967897">
      <w:rPr>
        <w:sz w:val="18"/>
        <w:szCs w:val="18"/>
      </w:rPr>
      <w:fldChar w:fldCharType="begin"/>
    </w:r>
    <w:r w:rsidRPr="00967897">
      <w:rPr>
        <w:sz w:val="18"/>
        <w:szCs w:val="18"/>
      </w:rPr>
      <w:instrText xml:space="preserve"> PAGE  \* Arabic  \* MERGEFORMAT </w:instrText>
    </w:r>
    <w:r w:rsidRPr="00967897">
      <w:rPr>
        <w:sz w:val="18"/>
        <w:szCs w:val="18"/>
      </w:rPr>
      <w:fldChar w:fldCharType="separate"/>
    </w:r>
    <w:r w:rsidRPr="00967897">
      <w:rPr>
        <w:sz w:val="18"/>
        <w:szCs w:val="18"/>
      </w:rPr>
      <w:t>1</w:t>
    </w:r>
    <w:r w:rsidRPr="00967897">
      <w:rPr>
        <w:sz w:val="18"/>
        <w:szCs w:val="18"/>
      </w:rPr>
      <w:fldChar w:fldCharType="end"/>
    </w:r>
    <w:r w:rsidRPr="00967897">
      <w:rPr>
        <w:sz w:val="18"/>
        <w:szCs w:val="18"/>
      </w:rPr>
      <w:t xml:space="preserve"> of </w:t>
    </w:r>
    <w:r w:rsidRPr="00967897">
      <w:rPr>
        <w:sz w:val="18"/>
        <w:szCs w:val="18"/>
      </w:rPr>
      <w:fldChar w:fldCharType="begin"/>
    </w:r>
    <w:r w:rsidRPr="00967897">
      <w:rPr>
        <w:sz w:val="18"/>
        <w:szCs w:val="18"/>
      </w:rPr>
      <w:instrText>NUMPAGES  \* Arabic  \* MERGEFORMAT</w:instrText>
    </w:r>
    <w:r w:rsidRPr="00967897">
      <w:rPr>
        <w:sz w:val="18"/>
        <w:szCs w:val="18"/>
      </w:rPr>
      <w:fldChar w:fldCharType="separate"/>
    </w:r>
    <w:r w:rsidRPr="00967897">
      <w:rPr>
        <w:sz w:val="18"/>
        <w:szCs w:val="18"/>
      </w:rPr>
      <w:t>6</w:t>
    </w:r>
    <w:r w:rsidRPr="0096789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AB37" w14:textId="3656E0C1" w:rsidR="00332951" w:rsidRPr="00E238A9" w:rsidRDefault="00E238A9" w:rsidP="00E238A9">
    <w:pPr>
      <w:pStyle w:val="EERETableBodyCentered"/>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7B64" w14:textId="77777777" w:rsidR="008C6074" w:rsidRDefault="008C6074" w:rsidP="009F10B9">
      <w:pPr>
        <w:spacing w:after="0" w:line="240" w:lineRule="auto"/>
      </w:pPr>
      <w:r>
        <w:separator/>
      </w:r>
    </w:p>
    <w:p w14:paraId="24057177" w14:textId="77777777" w:rsidR="008C6074" w:rsidRDefault="008C6074"/>
  </w:footnote>
  <w:footnote w:type="continuationSeparator" w:id="0">
    <w:p w14:paraId="19391165" w14:textId="77777777" w:rsidR="008C6074" w:rsidRDefault="008C6074" w:rsidP="009F10B9">
      <w:pPr>
        <w:spacing w:after="0" w:line="240" w:lineRule="auto"/>
      </w:pPr>
      <w:r>
        <w:continuationSeparator/>
      </w:r>
    </w:p>
    <w:p w14:paraId="3D5D0843" w14:textId="77777777" w:rsidR="008C6074" w:rsidRDefault="008C6074"/>
  </w:footnote>
  <w:footnote w:type="continuationNotice" w:id="1">
    <w:p w14:paraId="2DFBE934" w14:textId="77777777" w:rsidR="008C6074" w:rsidRDefault="008C6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9142" w14:textId="29B03C67" w:rsidR="00C25FC0" w:rsidRDefault="00C25FC0" w:rsidP="00C26DD3">
    <w:pPr>
      <w:pStyle w:val="NoSpacing"/>
      <w:jc w:val="center"/>
      <w:rPr>
        <w:rFonts w:ascii="Arial" w:hAnsi="Arial" w:cs="Arial"/>
        <w:b/>
        <w:color w:val="344680"/>
        <w:sz w:val="36"/>
        <w:szCs w:val="36"/>
      </w:rPr>
    </w:pPr>
    <w:r w:rsidRPr="005F1101">
      <w:rPr>
        <w:noProof/>
        <w:sz w:val="36"/>
        <w:szCs w:val="36"/>
      </w:rPr>
      <w:drawing>
        <wp:anchor distT="0" distB="0" distL="114300" distR="114300" simplePos="0" relativeHeight="251658240" behindDoc="1" locked="0" layoutInCell="1" allowOverlap="1" wp14:anchorId="2EC12CFE" wp14:editId="5BF629B3">
          <wp:simplePos x="0" y="0"/>
          <wp:positionH relativeFrom="column">
            <wp:posOffset>-146685</wp:posOffset>
          </wp:positionH>
          <wp:positionV relativeFrom="paragraph">
            <wp:posOffset>-238125</wp:posOffset>
          </wp:positionV>
          <wp:extent cx="934085" cy="942975"/>
          <wp:effectExtent l="0" t="0" r="0" b="9525"/>
          <wp:wrapNone/>
          <wp:docPr id="155691363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13631"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08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E7E331" w14:textId="65F957F5" w:rsidR="00C26DD3" w:rsidRPr="005F1101" w:rsidRDefault="00C26DD3" w:rsidP="00C26DD3">
    <w:pPr>
      <w:pStyle w:val="NoSpacing"/>
      <w:jc w:val="center"/>
      <w:rPr>
        <w:rFonts w:ascii="Arial" w:hAnsi="Arial" w:cs="Arial"/>
        <w:b/>
        <w:color w:val="344680"/>
        <w:sz w:val="36"/>
        <w:szCs w:val="36"/>
      </w:rPr>
    </w:pPr>
    <w:r w:rsidRPr="005F1101">
      <w:rPr>
        <w:rFonts w:ascii="Arial" w:hAnsi="Arial" w:cs="Arial"/>
        <w:b/>
        <w:color w:val="344680"/>
        <w:sz w:val="36"/>
        <w:szCs w:val="36"/>
      </w:rPr>
      <w:t>Department of Energy</w:t>
    </w:r>
  </w:p>
  <w:p w14:paraId="66092644" w14:textId="2C534B62" w:rsidR="0090308D" w:rsidRDefault="0090308D" w:rsidP="00586B46">
    <w:pPr>
      <w:tabs>
        <w:tab w:val="left" w:pos="813"/>
      </w:tabs>
      <w:ind w:left="-1440" w:right="-14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248"/>
    <w:multiLevelType w:val="hybridMultilevel"/>
    <w:tmpl w:val="48BCD598"/>
    <w:lvl w:ilvl="0" w:tplc="C1100A5C">
      <w:start w:val="1"/>
      <w:numFmt w:val="decimal"/>
      <w:pStyle w:val="EERE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73CA9"/>
    <w:multiLevelType w:val="hybridMultilevel"/>
    <w:tmpl w:val="A940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92E95"/>
    <w:multiLevelType w:val="hybridMultilevel"/>
    <w:tmpl w:val="A40C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E09E8"/>
    <w:multiLevelType w:val="hybridMultilevel"/>
    <w:tmpl w:val="F558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B4BC8"/>
    <w:multiLevelType w:val="hybridMultilevel"/>
    <w:tmpl w:val="EB883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263D7"/>
    <w:multiLevelType w:val="hybridMultilevel"/>
    <w:tmpl w:val="8EE6A05C"/>
    <w:lvl w:ilvl="0" w:tplc="9AD0CAFA">
      <w:start w:val="1"/>
      <w:numFmt w:val="bullet"/>
      <w:pStyle w:val="EEREBullet02"/>
      <w:lvlText w:val="o"/>
      <w:lvlJc w:val="left"/>
      <w:pPr>
        <w:tabs>
          <w:tab w:val="num" w:pos="1440"/>
        </w:tabs>
        <w:ind w:left="100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9AD"/>
    <w:multiLevelType w:val="hybridMultilevel"/>
    <w:tmpl w:val="B95EC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B017D"/>
    <w:multiLevelType w:val="hybridMultilevel"/>
    <w:tmpl w:val="B9EAEE26"/>
    <w:lvl w:ilvl="0" w:tplc="EB6E6D28">
      <w:start w:val="1"/>
      <w:numFmt w:val="bullet"/>
      <w:pStyle w:val="EEREBullet01"/>
      <w:lvlText w:val=""/>
      <w:lvlJc w:val="left"/>
      <w:pPr>
        <w:tabs>
          <w:tab w:val="num" w:pos="720"/>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F3ECC"/>
    <w:multiLevelType w:val="multilevel"/>
    <w:tmpl w:val="6DBAF0F2"/>
    <w:lvl w:ilvl="0">
      <w:start w:val="1"/>
      <w:numFmt w:val="decimal"/>
      <w:pStyle w:val="EEREHead01Numbered"/>
      <w:lvlText w:val="%1"/>
      <w:lvlJc w:val="left"/>
      <w:pPr>
        <w:tabs>
          <w:tab w:val="num" w:pos="432"/>
        </w:tabs>
        <w:ind w:left="432" w:hanging="432"/>
      </w:pPr>
      <w:rPr>
        <w:rFonts w:hint="default"/>
      </w:rPr>
    </w:lvl>
    <w:lvl w:ilvl="1">
      <w:start w:val="1"/>
      <w:numFmt w:val="decimal"/>
      <w:pStyle w:val="EEREHead02Numbered"/>
      <w:lvlText w:val="%1.%2"/>
      <w:lvlJc w:val="left"/>
      <w:pPr>
        <w:tabs>
          <w:tab w:val="num" w:pos="576"/>
        </w:tabs>
        <w:ind w:left="576" w:hanging="576"/>
      </w:pPr>
      <w:rPr>
        <w:rFonts w:hint="default"/>
      </w:rPr>
    </w:lvl>
    <w:lvl w:ilvl="2">
      <w:start w:val="1"/>
      <w:numFmt w:val="decimal"/>
      <w:pStyle w:val="EEREHead03Numbered"/>
      <w:lvlText w:val="%1.%2.%3"/>
      <w:lvlJc w:val="left"/>
      <w:pPr>
        <w:tabs>
          <w:tab w:val="num" w:pos="720"/>
        </w:tabs>
        <w:ind w:left="720" w:hanging="720"/>
      </w:pPr>
      <w:rPr>
        <w:rFonts w:hint="default"/>
      </w:rPr>
    </w:lvl>
    <w:lvl w:ilvl="3">
      <w:start w:val="1"/>
      <w:numFmt w:val="decimal"/>
      <w:pStyle w:val="EEREHead04Numbered"/>
      <w:lvlText w:val="%1.%2.%3.%4"/>
      <w:lvlJc w:val="left"/>
      <w:pPr>
        <w:tabs>
          <w:tab w:val="num" w:pos="864"/>
        </w:tabs>
        <w:ind w:left="864" w:hanging="864"/>
      </w:pPr>
      <w:rPr>
        <w:rFonts w:hint="default"/>
      </w:rPr>
    </w:lvl>
    <w:lvl w:ilvl="4">
      <w:start w:val="1"/>
      <w:numFmt w:val="decimal"/>
      <w:pStyle w:val="EEREHead05Numbered"/>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5BA6DDE"/>
    <w:multiLevelType w:val="hybridMultilevel"/>
    <w:tmpl w:val="7FBCB5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DA46E4"/>
    <w:multiLevelType w:val="hybridMultilevel"/>
    <w:tmpl w:val="B670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422B5"/>
    <w:multiLevelType w:val="hybridMultilevel"/>
    <w:tmpl w:val="9080F6F6"/>
    <w:lvl w:ilvl="0" w:tplc="8F7E79A0">
      <w:start w:val="1"/>
      <w:numFmt w:val="bullet"/>
      <w:pStyle w:val="EEREBullet03"/>
      <w:lvlText w:val="o"/>
      <w:lvlJc w:val="left"/>
      <w:pPr>
        <w:ind w:left="1541" w:hanging="317"/>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54431203">
    <w:abstractNumId w:val="7"/>
  </w:num>
  <w:num w:numId="2" w16cid:durableId="350038032">
    <w:abstractNumId w:val="5"/>
  </w:num>
  <w:num w:numId="3" w16cid:durableId="1379862135">
    <w:abstractNumId w:val="11"/>
  </w:num>
  <w:num w:numId="4" w16cid:durableId="999191043">
    <w:abstractNumId w:val="8"/>
  </w:num>
  <w:num w:numId="5" w16cid:durableId="616522619">
    <w:abstractNumId w:val="3"/>
  </w:num>
  <w:num w:numId="6" w16cid:durableId="1362822973">
    <w:abstractNumId w:val="0"/>
  </w:num>
  <w:num w:numId="7" w16cid:durableId="2073649152">
    <w:abstractNumId w:val="4"/>
  </w:num>
  <w:num w:numId="8" w16cid:durableId="1142229672">
    <w:abstractNumId w:val="2"/>
  </w:num>
  <w:num w:numId="9" w16cid:durableId="125315062">
    <w:abstractNumId w:val="10"/>
  </w:num>
  <w:num w:numId="10" w16cid:durableId="1934823850">
    <w:abstractNumId w:val="9"/>
  </w:num>
  <w:num w:numId="11" w16cid:durableId="273447353">
    <w:abstractNumId w:val="1"/>
  </w:num>
  <w:num w:numId="12" w16cid:durableId="43714105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78"/>
    <w:rsid w:val="000009B0"/>
    <w:rsid w:val="00002210"/>
    <w:rsid w:val="00003621"/>
    <w:rsid w:val="00003794"/>
    <w:rsid w:val="00011733"/>
    <w:rsid w:val="0001359B"/>
    <w:rsid w:val="00024DA0"/>
    <w:rsid w:val="00030E6D"/>
    <w:rsid w:val="00037623"/>
    <w:rsid w:val="00041ED3"/>
    <w:rsid w:val="00047EA8"/>
    <w:rsid w:val="0005078F"/>
    <w:rsid w:val="00051656"/>
    <w:rsid w:val="00053311"/>
    <w:rsid w:val="000553B9"/>
    <w:rsid w:val="000560EC"/>
    <w:rsid w:val="000562A5"/>
    <w:rsid w:val="00080A76"/>
    <w:rsid w:val="00080ED9"/>
    <w:rsid w:val="00084F33"/>
    <w:rsid w:val="00090465"/>
    <w:rsid w:val="00097B36"/>
    <w:rsid w:val="000A508F"/>
    <w:rsid w:val="000B4A89"/>
    <w:rsid w:val="000B58B5"/>
    <w:rsid w:val="000C0919"/>
    <w:rsid w:val="000E0B41"/>
    <w:rsid w:val="000E0D09"/>
    <w:rsid w:val="000F1258"/>
    <w:rsid w:val="000F5878"/>
    <w:rsid w:val="001014F4"/>
    <w:rsid w:val="001018CE"/>
    <w:rsid w:val="001056DB"/>
    <w:rsid w:val="00107380"/>
    <w:rsid w:val="0011530D"/>
    <w:rsid w:val="00123A87"/>
    <w:rsid w:val="00127E6B"/>
    <w:rsid w:val="00131F9E"/>
    <w:rsid w:val="00141727"/>
    <w:rsid w:val="00141FE4"/>
    <w:rsid w:val="00145EAA"/>
    <w:rsid w:val="00151A9F"/>
    <w:rsid w:val="001602B7"/>
    <w:rsid w:val="00161082"/>
    <w:rsid w:val="00164981"/>
    <w:rsid w:val="00172048"/>
    <w:rsid w:val="00172513"/>
    <w:rsid w:val="00175F4F"/>
    <w:rsid w:val="0017627B"/>
    <w:rsid w:val="00177CD2"/>
    <w:rsid w:val="0018065B"/>
    <w:rsid w:val="0018363C"/>
    <w:rsid w:val="00184753"/>
    <w:rsid w:val="001A06EC"/>
    <w:rsid w:val="001A23B8"/>
    <w:rsid w:val="001A47F6"/>
    <w:rsid w:val="001A6974"/>
    <w:rsid w:val="001B4F87"/>
    <w:rsid w:val="001B58DD"/>
    <w:rsid w:val="001B62FB"/>
    <w:rsid w:val="001C073A"/>
    <w:rsid w:val="001C0C27"/>
    <w:rsid w:val="001C19C3"/>
    <w:rsid w:val="001C2DB3"/>
    <w:rsid w:val="001C4294"/>
    <w:rsid w:val="001C62C7"/>
    <w:rsid w:val="001D656F"/>
    <w:rsid w:val="001D6D7C"/>
    <w:rsid w:val="001D7518"/>
    <w:rsid w:val="001E5830"/>
    <w:rsid w:val="001F0D6D"/>
    <w:rsid w:val="00204EE8"/>
    <w:rsid w:val="0020731F"/>
    <w:rsid w:val="0021102F"/>
    <w:rsid w:val="0021344E"/>
    <w:rsid w:val="00217EFB"/>
    <w:rsid w:val="002206DC"/>
    <w:rsid w:val="00223F90"/>
    <w:rsid w:val="00227739"/>
    <w:rsid w:val="00234F89"/>
    <w:rsid w:val="00235583"/>
    <w:rsid w:val="00237711"/>
    <w:rsid w:val="00241A91"/>
    <w:rsid w:val="00242B6A"/>
    <w:rsid w:val="00243A88"/>
    <w:rsid w:val="0025378D"/>
    <w:rsid w:val="0026112B"/>
    <w:rsid w:val="0026130E"/>
    <w:rsid w:val="00262488"/>
    <w:rsid w:val="00271404"/>
    <w:rsid w:val="00275FEC"/>
    <w:rsid w:val="00276263"/>
    <w:rsid w:val="00280BCF"/>
    <w:rsid w:val="002917E5"/>
    <w:rsid w:val="002A58A5"/>
    <w:rsid w:val="002B01A3"/>
    <w:rsid w:val="002B119F"/>
    <w:rsid w:val="002B797A"/>
    <w:rsid w:val="002C638F"/>
    <w:rsid w:val="002C7CCA"/>
    <w:rsid w:val="002E7A18"/>
    <w:rsid w:val="002E7AAA"/>
    <w:rsid w:val="002F6629"/>
    <w:rsid w:val="002F6C1E"/>
    <w:rsid w:val="00301C4C"/>
    <w:rsid w:val="00307DEA"/>
    <w:rsid w:val="00311707"/>
    <w:rsid w:val="0031430C"/>
    <w:rsid w:val="00314A87"/>
    <w:rsid w:val="00316C75"/>
    <w:rsid w:val="00324B81"/>
    <w:rsid w:val="0032586E"/>
    <w:rsid w:val="003270F0"/>
    <w:rsid w:val="00332951"/>
    <w:rsid w:val="003342FD"/>
    <w:rsid w:val="00343CF4"/>
    <w:rsid w:val="0035384E"/>
    <w:rsid w:val="00357B5D"/>
    <w:rsid w:val="00370110"/>
    <w:rsid w:val="00380C31"/>
    <w:rsid w:val="00380E3D"/>
    <w:rsid w:val="00396874"/>
    <w:rsid w:val="003C320C"/>
    <w:rsid w:val="003C3272"/>
    <w:rsid w:val="003D0CE2"/>
    <w:rsid w:val="003D0F9B"/>
    <w:rsid w:val="003D3271"/>
    <w:rsid w:val="003D41DD"/>
    <w:rsid w:val="003D5C5B"/>
    <w:rsid w:val="003D7904"/>
    <w:rsid w:val="003E453E"/>
    <w:rsid w:val="003E6AAC"/>
    <w:rsid w:val="003F1BCA"/>
    <w:rsid w:val="003F5AB5"/>
    <w:rsid w:val="00401BD5"/>
    <w:rsid w:val="00405516"/>
    <w:rsid w:val="00411955"/>
    <w:rsid w:val="004133D7"/>
    <w:rsid w:val="00415FE9"/>
    <w:rsid w:val="00417A63"/>
    <w:rsid w:val="00420826"/>
    <w:rsid w:val="00421000"/>
    <w:rsid w:val="00422F8B"/>
    <w:rsid w:val="00423CDC"/>
    <w:rsid w:val="00426A7E"/>
    <w:rsid w:val="004307C7"/>
    <w:rsid w:val="0043095C"/>
    <w:rsid w:val="0043205A"/>
    <w:rsid w:val="004323B1"/>
    <w:rsid w:val="004327D6"/>
    <w:rsid w:val="00435342"/>
    <w:rsid w:val="00436D78"/>
    <w:rsid w:val="0043774D"/>
    <w:rsid w:val="004427C0"/>
    <w:rsid w:val="00444F6D"/>
    <w:rsid w:val="004576FF"/>
    <w:rsid w:val="004605A9"/>
    <w:rsid w:val="004723BD"/>
    <w:rsid w:val="00474FB9"/>
    <w:rsid w:val="00476FA5"/>
    <w:rsid w:val="00477B8E"/>
    <w:rsid w:val="00482036"/>
    <w:rsid w:val="00485A5D"/>
    <w:rsid w:val="00496B02"/>
    <w:rsid w:val="004A5ADB"/>
    <w:rsid w:val="004C147F"/>
    <w:rsid w:val="004C2510"/>
    <w:rsid w:val="004D77FD"/>
    <w:rsid w:val="004F2E78"/>
    <w:rsid w:val="004F492C"/>
    <w:rsid w:val="004F757F"/>
    <w:rsid w:val="00503C36"/>
    <w:rsid w:val="00512374"/>
    <w:rsid w:val="00520642"/>
    <w:rsid w:val="00521164"/>
    <w:rsid w:val="0052208E"/>
    <w:rsid w:val="005251B4"/>
    <w:rsid w:val="00533352"/>
    <w:rsid w:val="00535A89"/>
    <w:rsid w:val="005370D7"/>
    <w:rsid w:val="005417B3"/>
    <w:rsid w:val="005425E6"/>
    <w:rsid w:val="0054425D"/>
    <w:rsid w:val="00544461"/>
    <w:rsid w:val="005458FB"/>
    <w:rsid w:val="0054657D"/>
    <w:rsid w:val="00546C24"/>
    <w:rsid w:val="005610C5"/>
    <w:rsid w:val="00586B46"/>
    <w:rsid w:val="005873C0"/>
    <w:rsid w:val="005A2508"/>
    <w:rsid w:val="005A3B5E"/>
    <w:rsid w:val="005B48C0"/>
    <w:rsid w:val="005B6E21"/>
    <w:rsid w:val="005B7DFC"/>
    <w:rsid w:val="005C14C3"/>
    <w:rsid w:val="005C4CFF"/>
    <w:rsid w:val="005C5A00"/>
    <w:rsid w:val="005C5F36"/>
    <w:rsid w:val="005E1157"/>
    <w:rsid w:val="005E1C77"/>
    <w:rsid w:val="005E7BBA"/>
    <w:rsid w:val="005F1101"/>
    <w:rsid w:val="006055FE"/>
    <w:rsid w:val="006122D6"/>
    <w:rsid w:val="00612AB1"/>
    <w:rsid w:val="00615905"/>
    <w:rsid w:val="00617103"/>
    <w:rsid w:val="00624E2E"/>
    <w:rsid w:val="00627F45"/>
    <w:rsid w:val="00643251"/>
    <w:rsid w:val="00646998"/>
    <w:rsid w:val="00646E10"/>
    <w:rsid w:val="006470B6"/>
    <w:rsid w:val="006475E7"/>
    <w:rsid w:val="00647BC4"/>
    <w:rsid w:val="006568A9"/>
    <w:rsid w:val="0066382B"/>
    <w:rsid w:val="0066431F"/>
    <w:rsid w:val="00667C24"/>
    <w:rsid w:val="00667EEC"/>
    <w:rsid w:val="006717BF"/>
    <w:rsid w:val="00671AE9"/>
    <w:rsid w:val="00671EBE"/>
    <w:rsid w:val="0067689A"/>
    <w:rsid w:val="00681A59"/>
    <w:rsid w:val="00683B63"/>
    <w:rsid w:val="00692445"/>
    <w:rsid w:val="006935AB"/>
    <w:rsid w:val="00693602"/>
    <w:rsid w:val="006A0B82"/>
    <w:rsid w:val="006A2734"/>
    <w:rsid w:val="006A515F"/>
    <w:rsid w:val="006C2AE9"/>
    <w:rsid w:val="006C6F02"/>
    <w:rsid w:val="006D3B3C"/>
    <w:rsid w:val="006E2141"/>
    <w:rsid w:val="006E2BDE"/>
    <w:rsid w:val="007063A7"/>
    <w:rsid w:val="007222E1"/>
    <w:rsid w:val="0072533F"/>
    <w:rsid w:val="00730D03"/>
    <w:rsid w:val="00736016"/>
    <w:rsid w:val="00736EFB"/>
    <w:rsid w:val="00740483"/>
    <w:rsid w:val="00744FC1"/>
    <w:rsid w:val="0076744A"/>
    <w:rsid w:val="00774E9A"/>
    <w:rsid w:val="00784CBD"/>
    <w:rsid w:val="007907E9"/>
    <w:rsid w:val="007935A1"/>
    <w:rsid w:val="007A260A"/>
    <w:rsid w:val="007A2704"/>
    <w:rsid w:val="007A443C"/>
    <w:rsid w:val="007D75D5"/>
    <w:rsid w:val="007F0617"/>
    <w:rsid w:val="007F1742"/>
    <w:rsid w:val="007F7B3F"/>
    <w:rsid w:val="00800D25"/>
    <w:rsid w:val="008020F5"/>
    <w:rsid w:val="00812F32"/>
    <w:rsid w:val="00826094"/>
    <w:rsid w:val="008306CC"/>
    <w:rsid w:val="00831C73"/>
    <w:rsid w:val="00832F1C"/>
    <w:rsid w:val="00840879"/>
    <w:rsid w:val="00843125"/>
    <w:rsid w:val="008530ED"/>
    <w:rsid w:val="00854B99"/>
    <w:rsid w:val="00855569"/>
    <w:rsid w:val="00856334"/>
    <w:rsid w:val="00860FFC"/>
    <w:rsid w:val="00877442"/>
    <w:rsid w:val="00881365"/>
    <w:rsid w:val="0088364E"/>
    <w:rsid w:val="008861C2"/>
    <w:rsid w:val="00891160"/>
    <w:rsid w:val="00893D25"/>
    <w:rsid w:val="008960A6"/>
    <w:rsid w:val="00896522"/>
    <w:rsid w:val="008A0563"/>
    <w:rsid w:val="008A0570"/>
    <w:rsid w:val="008C4ED1"/>
    <w:rsid w:val="008C6074"/>
    <w:rsid w:val="008D18F6"/>
    <w:rsid w:val="008D4B26"/>
    <w:rsid w:val="008E0810"/>
    <w:rsid w:val="008E188F"/>
    <w:rsid w:val="008E5B01"/>
    <w:rsid w:val="008E72CB"/>
    <w:rsid w:val="008E7CA0"/>
    <w:rsid w:val="008F51E3"/>
    <w:rsid w:val="00901755"/>
    <w:rsid w:val="0090308D"/>
    <w:rsid w:val="00906B20"/>
    <w:rsid w:val="009118B7"/>
    <w:rsid w:val="00911DF1"/>
    <w:rsid w:val="0092000E"/>
    <w:rsid w:val="009266DA"/>
    <w:rsid w:val="0092723D"/>
    <w:rsid w:val="009274E4"/>
    <w:rsid w:val="009336A6"/>
    <w:rsid w:val="00937A09"/>
    <w:rsid w:val="00937EFA"/>
    <w:rsid w:val="00940E7B"/>
    <w:rsid w:val="00941D56"/>
    <w:rsid w:val="00954019"/>
    <w:rsid w:val="00955451"/>
    <w:rsid w:val="00963A79"/>
    <w:rsid w:val="00967897"/>
    <w:rsid w:val="0097549C"/>
    <w:rsid w:val="00987455"/>
    <w:rsid w:val="009905E2"/>
    <w:rsid w:val="009951D7"/>
    <w:rsid w:val="009A1158"/>
    <w:rsid w:val="009A6B12"/>
    <w:rsid w:val="009B0865"/>
    <w:rsid w:val="009B3D48"/>
    <w:rsid w:val="009B517F"/>
    <w:rsid w:val="009B7664"/>
    <w:rsid w:val="009C19E9"/>
    <w:rsid w:val="009C6BDE"/>
    <w:rsid w:val="009D22B1"/>
    <w:rsid w:val="009D782B"/>
    <w:rsid w:val="009E3E6A"/>
    <w:rsid w:val="009F10B9"/>
    <w:rsid w:val="009F14BE"/>
    <w:rsid w:val="009F2BB1"/>
    <w:rsid w:val="009F4091"/>
    <w:rsid w:val="009F4944"/>
    <w:rsid w:val="00A005D4"/>
    <w:rsid w:val="00A03F3D"/>
    <w:rsid w:val="00A13A1D"/>
    <w:rsid w:val="00A15CCD"/>
    <w:rsid w:val="00A16413"/>
    <w:rsid w:val="00A24C56"/>
    <w:rsid w:val="00A26BDA"/>
    <w:rsid w:val="00A30D5A"/>
    <w:rsid w:val="00A319D9"/>
    <w:rsid w:val="00A3254A"/>
    <w:rsid w:val="00A32F3C"/>
    <w:rsid w:val="00A33800"/>
    <w:rsid w:val="00A35B03"/>
    <w:rsid w:val="00A3649F"/>
    <w:rsid w:val="00A40280"/>
    <w:rsid w:val="00A475F1"/>
    <w:rsid w:val="00A53454"/>
    <w:rsid w:val="00A61549"/>
    <w:rsid w:val="00A61C61"/>
    <w:rsid w:val="00A62980"/>
    <w:rsid w:val="00A76743"/>
    <w:rsid w:val="00A779ED"/>
    <w:rsid w:val="00A83CEF"/>
    <w:rsid w:val="00A86064"/>
    <w:rsid w:val="00A87CD1"/>
    <w:rsid w:val="00A92064"/>
    <w:rsid w:val="00A9350E"/>
    <w:rsid w:val="00AA0E50"/>
    <w:rsid w:val="00AA1EB8"/>
    <w:rsid w:val="00AA6758"/>
    <w:rsid w:val="00AA6E80"/>
    <w:rsid w:val="00AD3D76"/>
    <w:rsid w:val="00AE2DB4"/>
    <w:rsid w:val="00AF5A86"/>
    <w:rsid w:val="00B01A98"/>
    <w:rsid w:val="00B03C49"/>
    <w:rsid w:val="00B03F4D"/>
    <w:rsid w:val="00B06CC0"/>
    <w:rsid w:val="00B10C98"/>
    <w:rsid w:val="00B117D4"/>
    <w:rsid w:val="00B16A18"/>
    <w:rsid w:val="00B2086F"/>
    <w:rsid w:val="00B267A0"/>
    <w:rsid w:val="00B33084"/>
    <w:rsid w:val="00B4485C"/>
    <w:rsid w:val="00B50F3E"/>
    <w:rsid w:val="00B64A08"/>
    <w:rsid w:val="00B7506A"/>
    <w:rsid w:val="00B77BAF"/>
    <w:rsid w:val="00B81725"/>
    <w:rsid w:val="00B84B9B"/>
    <w:rsid w:val="00B90891"/>
    <w:rsid w:val="00B928BC"/>
    <w:rsid w:val="00B93519"/>
    <w:rsid w:val="00B9538B"/>
    <w:rsid w:val="00BA0357"/>
    <w:rsid w:val="00BA4BE0"/>
    <w:rsid w:val="00BA5344"/>
    <w:rsid w:val="00BA5D2A"/>
    <w:rsid w:val="00BB6DBF"/>
    <w:rsid w:val="00BD2817"/>
    <w:rsid w:val="00BD3270"/>
    <w:rsid w:val="00BE07BD"/>
    <w:rsid w:val="00BE121C"/>
    <w:rsid w:val="00BE27E4"/>
    <w:rsid w:val="00BE306C"/>
    <w:rsid w:val="00BE547F"/>
    <w:rsid w:val="00BE5DCD"/>
    <w:rsid w:val="00BE61D2"/>
    <w:rsid w:val="00BF58C3"/>
    <w:rsid w:val="00C04B37"/>
    <w:rsid w:val="00C071D9"/>
    <w:rsid w:val="00C10251"/>
    <w:rsid w:val="00C1622B"/>
    <w:rsid w:val="00C25FC0"/>
    <w:rsid w:val="00C26DD3"/>
    <w:rsid w:val="00C303C5"/>
    <w:rsid w:val="00C366A6"/>
    <w:rsid w:val="00C36A8C"/>
    <w:rsid w:val="00C4289E"/>
    <w:rsid w:val="00C50540"/>
    <w:rsid w:val="00C5537C"/>
    <w:rsid w:val="00C57C5C"/>
    <w:rsid w:val="00C6550A"/>
    <w:rsid w:val="00C6781E"/>
    <w:rsid w:val="00C6795C"/>
    <w:rsid w:val="00C711B3"/>
    <w:rsid w:val="00C71745"/>
    <w:rsid w:val="00C71EA5"/>
    <w:rsid w:val="00C73491"/>
    <w:rsid w:val="00C7651C"/>
    <w:rsid w:val="00C76EDE"/>
    <w:rsid w:val="00C86F98"/>
    <w:rsid w:val="00CA0A93"/>
    <w:rsid w:val="00CA31E8"/>
    <w:rsid w:val="00CA3D6E"/>
    <w:rsid w:val="00CB3D35"/>
    <w:rsid w:val="00CC2623"/>
    <w:rsid w:val="00CD1646"/>
    <w:rsid w:val="00CE528B"/>
    <w:rsid w:val="00CE6921"/>
    <w:rsid w:val="00CE76E4"/>
    <w:rsid w:val="00D01EBA"/>
    <w:rsid w:val="00D06AC6"/>
    <w:rsid w:val="00D1123E"/>
    <w:rsid w:val="00D42C2C"/>
    <w:rsid w:val="00D43C9A"/>
    <w:rsid w:val="00D53351"/>
    <w:rsid w:val="00D60A5F"/>
    <w:rsid w:val="00D627D4"/>
    <w:rsid w:val="00D74950"/>
    <w:rsid w:val="00D74D88"/>
    <w:rsid w:val="00D80711"/>
    <w:rsid w:val="00D8335D"/>
    <w:rsid w:val="00D8694F"/>
    <w:rsid w:val="00D94AA5"/>
    <w:rsid w:val="00D95F13"/>
    <w:rsid w:val="00D96B44"/>
    <w:rsid w:val="00DA18D6"/>
    <w:rsid w:val="00DA4293"/>
    <w:rsid w:val="00DA5D8C"/>
    <w:rsid w:val="00DA794A"/>
    <w:rsid w:val="00DD0095"/>
    <w:rsid w:val="00DD05BC"/>
    <w:rsid w:val="00DD16E1"/>
    <w:rsid w:val="00DD1DDB"/>
    <w:rsid w:val="00DD2AE7"/>
    <w:rsid w:val="00DD3CF7"/>
    <w:rsid w:val="00DD7CCD"/>
    <w:rsid w:val="00DF1CBE"/>
    <w:rsid w:val="00DF5BF2"/>
    <w:rsid w:val="00E001EE"/>
    <w:rsid w:val="00E0021D"/>
    <w:rsid w:val="00E0227E"/>
    <w:rsid w:val="00E04C87"/>
    <w:rsid w:val="00E077B9"/>
    <w:rsid w:val="00E07A1A"/>
    <w:rsid w:val="00E133ED"/>
    <w:rsid w:val="00E153CE"/>
    <w:rsid w:val="00E21678"/>
    <w:rsid w:val="00E238A9"/>
    <w:rsid w:val="00E304CD"/>
    <w:rsid w:val="00E33096"/>
    <w:rsid w:val="00E36980"/>
    <w:rsid w:val="00E461EB"/>
    <w:rsid w:val="00E47F5E"/>
    <w:rsid w:val="00E50D70"/>
    <w:rsid w:val="00E534F7"/>
    <w:rsid w:val="00E6528A"/>
    <w:rsid w:val="00E70E70"/>
    <w:rsid w:val="00E752B7"/>
    <w:rsid w:val="00E7547C"/>
    <w:rsid w:val="00E75844"/>
    <w:rsid w:val="00E83003"/>
    <w:rsid w:val="00EA0E8C"/>
    <w:rsid w:val="00EB08B4"/>
    <w:rsid w:val="00EB16EA"/>
    <w:rsid w:val="00EC2EB8"/>
    <w:rsid w:val="00EC7A32"/>
    <w:rsid w:val="00ED2842"/>
    <w:rsid w:val="00ED540D"/>
    <w:rsid w:val="00ED543E"/>
    <w:rsid w:val="00EE0A0D"/>
    <w:rsid w:val="00EE2D04"/>
    <w:rsid w:val="00EE42F9"/>
    <w:rsid w:val="00EF2726"/>
    <w:rsid w:val="00EF6207"/>
    <w:rsid w:val="00F007B7"/>
    <w:rsid w:val="00F01113"/>
    <w:rsid w:val="00F04027"/>
    <w:rsid w:val="00F0465E"/>
    <w:rsid w:val="00F209E0"/>
    <w:rsid w:val="00F20FAE"/>
    <w:rsid w:val="00F25B0D"/>
    <w:rsid w:val="00F26930"/>
    <w:rsid w:val="00F31E89"/>
    <w:rsid w:val="00F32DCB"/>
    <w:rsid w:val="00F420B1"/>
    <w:rsid w:val="00F46F36"/>
    <w:rsid w:val="00F474B1"/>
    <w:rsid w:val="00F50422"/>
    <w:rsid w:val="00F5224A"/>
    <w:rsid w:val="00F532E0"/>
    <w:rsid w:val="00F54F93"/>
    <w:rsid w:val="00F57576"/>
    <w:rsid w:val="00F64A0F"/>
    <w:rsid w:val="00F66F3A"/>
    <w:rsid w:val="00F70C3E"/>
    <w:rsid w:val="00F715AB"/>
    <w:rsid w:val="00F763E1"/>
    <w:rsid w:val="00F90CFE"/>
    <w:rsid w:val="00F96073"/>
    <w:rsid w:val="00FA1335"/>
    <w:rsid w:val="00FA658D"/>
    <w:rsid w:val="00FC7D39"/>
    <w:rsid w:val="00FD0E28"/>
    <w:rsid w:val="00FD0EDC"/>
    <w:rsid w:val="00FD1119"/>
    <w:rsid w:val="00FD7F21"/>
    <w:rsid w:val="00FE1E46"/>
    <w:rsid w:val="00FE33E2"/>
    <w:rsid w:val="00FF017A"/>
    <w:rsid w:val="00FF58A4"/>
    <w:rsid w:val="0260EC31"/>
    <w:rsid w:val="027EF61E"/>
    <w:rsid w:val="03B81E20"/>
    <w:rsid w:val="07C4C50D"/>
    <w:rsid w:val="0A6C15FB"/>
    <w:rsid w:val="0AA7C2A5"/>
    <w:rsid w:val="0B219F90"/>
    <w:rsid w:val="0D1CE8E6"/>
    <w:rsid w:val="0EB70534"/>
    <w:rsid w:val="185D1650"/>
    <w:rsid w:val="18EEE94E"/>
    <w:rsid w:val="1A4E0B5F"/>
    <w:rsid w:val="1F0C77D1"/>
    <w:rsid w:val="21D1BB18"/>
    <w:rsid w:val="241B25B5"/>
    <w:rsid w:val="2831322F"/>
    <w:rsid w:val="28C51B12"/>
    <w:rsid w:val="2A420169"/>
    <w:rsid w:val="2CC1AFEA"/>
    <w:rsid w:val="3149919F"/>
    <w:rsid w:val="3325B2B8"/>
    <w:rsid w:val="359A7A92"/>
    <w:rsid w:val="37EB1805"/>
    <w:rsid w:val="38370AE4"/>
    <w:rsid w:val="3914E817"/>
    <w:rsid w:val="3A55B9E2"/>
    <w:rsid w:val="3B67689B"/>
    <w:rsid w:val="3B6D846F"/>
    <w:rsid w:val="3E0C3BEC"/>
    <w:rsid w:val="3F0E96F4"/>
    <w:rsid w:val="409B60D1"/>
    <w:rsid w:val="42FACAF2"/>
    <w:rsid w:val="43288813"/>
    <w:rsid w:val="45978A33"/>
    <w:rsid w:val="4673F287"/>
    <w:rsid w:val="46CE73EF"/>
    <w:rsid w:val="4756EB5D"/>
    <w:rsid w:val="486CBA99"/>
    <w:rsid w:val="4E134348"/>
    <w:rsid w:val="54F9DD04"/>
    <w:rsid w:val="55A56983"/>
    <w:rsid w:val="5A08BEC7"/>
    <w:rsid w:val="5D1D0D4A"/>
    <w:rsid w:val="64082A5D"/>
    <w:rsid w:val="64B2B4AA"/>
    <w:rsid w:val="6724D6CD"/>
    <w:rsid w:val="69CDE9CC"/>
    <w:rsid w:val="69E8177B"/>
    <w:rsid w:val="69FD61B2"/>
    <w:rsid w:val="6A557905"/>
    <w:rsid w:val="6B0F9A43"/>
    <w:rsid w:val="6C383ECF"/>
    <w:rsid w:val="6DA7635B"/>
    <w:rsid w:val="6E822962"/>
    <w:rsid w:val="71ACCCFF"/>
    <w:rsid w:val="720C60D4"/>
    <w:rsid w:val="7C642036"/>
    <w:rsid w:val="7CDC3164"/>
    <w:rsid w:val="7D179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3030A9"/>
  <w15:chartTrackingRefBased/>
  <w15:docId w15:val="{1772C4D5-A740-4CDB-8FF2-37118D43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A5"/>
    <w:pPr>
      <w:spacing w:after="200" w:line="276" w:lineRule="auto"/>
    </w:pPr>
    <w:rPr>
      <w:rFonts w:ascii="Arial" w:hAnsi="Arial"/>
    </w:rPr>
  </w:style>
  <w:style w:type="paragraph" w:styleId="Heading1">
    <w:name w:val="heading 1"/>
    <w:basedOn w:val="Normal"/>
    <w:next w:val="Normal"/>
    <w:link w:val="Heading1Char"/>
    <w:qFormat/>
    <w:rsid w:val="00667EEC"/>
    <w:pPr>
      <w:keepNext/>
      <w:keepLines/>
      <w:spacing w:before="240" w:after="0"/>
      <w:outlineLvl w:val="0"/>
    </w:pPr>
    <w:rPr>
      <w:rFonts w:asciiTheme="majorHAnsi" w:eastAsiaTheme="majorEastAsia" w:hAnsiTheme="majorHAnsi" w:cstheme="majorBidi"/>
      <w:color w:val="0056BF" w:themeColor="accent1" w:themeShade="BF"/>
      <w:sz w:val="32"/>
      <w:szCs w:val="32"/>
    </w:rPr>
  </w:style>
  <w:style w:type="paragraph" w:styleId="Heading2">
    <w:name w:val="heading 2"/>
    <w:basedOn w:val="Normal"/>
    <w:next w:val="Normal"/>
    <w:link w:val="Heading2Char"/>
    <w:autoRedefine/>
    <w:uiPriority w:val="9"/>
    <w:unhideWhenUsed/>
    <w:rsid w:val="00047EA8"/>
    <w:pPr>
      <w:keepNext/>
      <w:keepLines/>
      <w:spacing w:after="60" w:line="240" w:lineRule="auto"/>
      <w:outlineLvl w:val="1"/>
    </w:pPr>
    <w:rPr>
      <w:rFonts w:asciiTheme="majorHAnsi" w:eastAsiaTheme="majorEastAsia" w:hAnsiTheme="majorHAnsi" w:cstheme="majorBidi"/>
      <w:color w:val="0056BF" w:themeColor="accent1" w:themeShade="BF"/>
      <w:sz w:val="26"/>
      <w:szCs w:val="26"/>
    </w:rPr>
  </w:style>
  <w:style w:type="paragraph" w:styleId="Heading3">
    <w:name w:val="heading 3"/>
    <w:basedOn w:val="Normal"/>
    <w:next w:val="Normal"/>
    <w:link w:val="Heading3Char"/>
    <w:uiPriority w:val="9"/>
    <w:semiHidden/>
    <w:unhideWhenUsed/>
    <w:rsid w:val="00D94AA5"/>
    <w:pPr>
      <w:keepNext/>
      <w:keepLines/>
      <w:spacing w:before="40" w:after="0"/>
      <w:outlineLvl w:val="2"/>
    </w:pPr>
    <w:rPr>
      <w:rFonts w:asciiTheme="majorHAnsi" w:eastAsiaTheme="majorEastAsia" w:hAnsiTheme="majorHAnsi" w:cstheme="majorBidi"/>
      <w:color w:val="00397F" w:themeColor="accent1" w:themeShade="7F"/>
    </w:rPr>
  </w:style>
  <w:style w:type="paragraph" w:styleId="Heading8">
    <w:name w:val="heading 8"/>
    <w:basedOn w:val="Normal"/>
    <w:next w:val="Normal"/>
    <w:link w:val="Heading8Char"/>
    <w:uiPriority w:val="9"/>
    <w:unhideWhenUsed/>
    <w:rsid w:val="00667EEC"/>
    <w:pPr>
      <w:keepNext/>
      <w:keepLines/>
      <w:spacing w:before="40" w:after="0"/>
      <w:outlineLvl w:val="7"/>
    </w:pPr>
    <w:rPr>
      <w:rFonts w:asciiTheme="majorHAnsi" w:eastAsiaTheme="majorEastAsia" w:hAnsiTheme="majorHAnsi" w:cstheme="majorBidi"/>
      <w:color w:val="0200B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667EEC"/>
    <w:rPr>
      <w:rFonts w:asciiTheme="majorHAnsi" w:eastAsiaTheme="majorEastAsia" w:hAnsiTheme="majorHAnsi" w:cstheme="majorBidi"/>
      <w:color w:val="0200B4" w:themeColor="text1" w:themeTint="D8"/>
      <w:sz w:val="21"/>
      <w:szCs w:val="21"/>
    </w:rPr>
  </w:style>
  <w:style w:type="character" w:customStyle="1" w:styleId="Heading1Char">
    <w:name w:val="Heading 1 Char"/>
    <w:basedOn w:val="DefaultParagraphFont"/>
    <w:link w:val="Heading1"/>
    <w:rsid w:val="00667EEC"/>
    <w:rPr>
      <w:rFonts w:asciiTheme="majorHAnsi" w:eastAsiaTheme="majorEastAsia" w:hAnsiTheme="majorHAnsi" w:cstheme="majorBidi"/>
      <w:color w:val="0056BF" w:themeColor="accent1" w:themeShade="BF"/>
      <w:sz w:val="32"/>
      <w:szCs w:val="32"/>
    </w:rPr>
  </w:style>
  <w:style w:type="paragraph" w:customStyle="1" w:styleId="EEREBodyText">
    <w:name w:val="EERE_Body_Text"/>
    <w:link w:val="EEREBodyTextChar"/>
    <w:qFormat/>
    <w:rsid w:val="00E21678"/>
    <w:pPr>
      <w:spacing w:before="120" w:after="240" w:line="240" w:lineRule="auto"/>
    </w:pPr>
    <w:rPr>
      <w:rFonts w:ascii="Arial" w:eastAsia="Times" w:hAnsi="Arial"/>
    </w:rPr>
  </w:style>
  <w:style w:type="character" w:customStyle="1" w:styleId="EEREBodyTextChar">
    <w:name w:val="EERE_Body_Text Char"/>
    <w:basedOn w:val="DefaultParagraphFont"/>
    <w:link w:val="EEREBodyText"/>
    <w:rsid w:val="00E21678"/>
    <w:rPr>
      <w:rFonts w:ascii="Arial" w:eastAsia="Times" w:hAnsi="Arial"/>
    </w:rPr>
  </w:style>
  <w:style w:type="paragraph" w:customStyle="1" w:styleId="EEREBullet01">
    <w:name w:val="EERE_Bullet_01"/>
    <w:qFormat/>
    <w:rsid w:val="001B4F87"/>
    <w:pPr>
      <w:numPr>
        <w:numId w:val="1"/>
      </w:numPr>
      <w:spacing w:after="120" w:line="276" w:lineRule="auto"/>
      <w:ind w:left="720"/>
    </w:pPr>
    <w:rPr>
      <w:rFonts w:ascii="Arial" w:eastAsia="Times" w:hAnsi="Arial"/>
    </w:rPr>
  </w:style>
  <w:style w:type="paragraph" w:customStyle="1" w:styleId="EEREBullet02">
    <w:name w:val="EERE_Bullet_02"/>
    <w:link w:val="EEREBullet02Char"/>
    <w:qFormat/>
    <w:rsid w:val="001B4F87"/>
    <w:pPr>
      <w:numPr>
        <w:numId w:val="2"/>
      </w:numPr>
      <w:spacing w:after="120" w:line="276" w:lineRule="auto"/>
      <w:ind w:left="1152"/>
    </w:pPr>
    <w:rPr>
      <w:rFonts w:ascii="Arial" w:eastAsia="Times" w:hAnsi="Arial"/>
    </w:rPr>
  </w:style>
  <w:style w:type="character" w:customStyle="1" w:styleId="EEREBullet02Char">
    <w:name w:val="EERE_Bullet_02 Char"/>
    <w:basedOn w:val="EEREBodyTextChar"/>
    <w:link w:val="EEREBullet02"/>
    <w:rsid w:val="001B4F87"/>
    <w:rPr>
      <w:rFonts w:ascii="Arial" w:eastAsia="Times" w:hAnsi="Arial"/>
    </w:rPr>
  </w:style>
  <w:style w:type="paragraph" w:customStyle="1" w:styleId="EEREBullet03">
    <w:name w:val="EERE_Bullet_03"/>
    <w:qFormat/>
    <w:rsid w:val="001B4F87"/>
    <w:pPr>
      <w:numPr>
        <w:numId w:val="3"/>
      </w:numPr>
      <w:spacing w:after="120" w:line="276" w:lineRule="auto"/>
      <w:ind w:left="1613"/>
    </w:pPr>
    <w:rPr>
      <w:rFonts w:ascii="Arial" w:eastAsia="Times" w:hAnsi="Arial"/>
    </w:rPr>
  </w:style>
  <w:style w:type="character" w:customStyle="1" w:styleId="Heading2Char">
    <w:name w:val="Heading 2 Char"/>
    <w:basedOn w:val="DefaultParagraphFont"/>
    <w:link w:val="Heading2"/>
    <w:uiPriority w:val="9"/>
    <w:rsid w:val="00047EA8"/>
    <w:rPr>
      <w:rFonts w:asciiTheme="majorHAnsi" w:eastAsiaTheme="majorEastAsia" w:hAnsiTheme="majorHAnsi" w:cstheme="majorBidi"/>
      <w:color w:val="0056BF" w:themeColor="accent1" w:themeShade="BF"/>
      <w:sz w:val="26"/>
      <w:szCs w:val="26"/>
    </w:rPr>
  </w:style>
  <w:style w:type="paragraph" w:customStyle="1" w:styleId="EEREEquation">
    <w:name w:val="EERE_Equation"/>
    <w:next w:val="EEREBodyText"/>
    <w:qFormat/>
    <w:rsid w:val="001014F4"/>
    <w:pPr>
      <w:spacing w:after="240" w:line="240" w:lineRule="auto"/>
      <w:ind w:left="720"/>
    </w:pPr>
    <w:rPr>
      <w:rFonts w:ascii="Arial" w:eastAsia="Times New Roman" w:hAnsi="Arial"/>
    </w:rPr>
  </w:style>
  <w:style w:type="paragraph" w:customStyle="1" w:styleId="EEREFigureCaption">
    <w:name w:val="EERE_Figure_Caption"/>
    <w:next w:val="EEREBodyText"/>
    <w:qFormat/>
    <w:rsid w:val="001B4F87"/>
    <w:pPr>
      <w:spacing w:before="120" w:after="120" w:line="240" w:lineRule="auto"/>
      <w:jc w:val="center"/>
    </w:pPr>
    <w:rPr>
      <w:rFonts w:ascii="Arial" w:eastAsia="Times New Roman" w:hAnsi="Arial"/>
      <w:sz w:val="20"/>
    </w:rPr>
  </w:style>
  <w:style w:type="paragraph" w:customStyle="1" w:styleId="EEREDraftReport">
    <w:name w:val="EERE_Draft Report"/>
    <w:basedOn w:val="Normal"/>
    <w:qFormat/>
    <w:rsid w:val="00521164"/>
    <w:rPr>
      <w:b/>
      <w:color w:val="020079" w:themeColor="text1"/>
      <w:sz w:val="22"/>
      <w:szCs w:val="22"/>
    </w:rPr>
  </w:style>
  <w:style w:type="paragraph" w:customStyle="1" w:styleId="EEREFooter">
    <w:name w:val="EERE_Footer"/>
    <w:basedOn w:val="Normal"/>
    <w:qFormat/>
    <w:rsid w:val="000B58B5"/>
    <w:pPr>
      <w:spacing w:after="0" w:line="220" w:lineRule="exact"/>
      <w:jc w:val="right"/>
    </w:pPr>
    <w:rPr>
      <w:rFonts w:eastAsia="Times New Roman" w:cs="Arial"/>
      <w:color w:val="4C4C4C"/>
      <w:sz w:val="20"/>
    </w:rPr>
  </w:style>
  <w:style w:type="paragraph" w:customStyle="1" w:styleId="EEREFootnoteEndnote">
    <w:name w:val="EERE_Footnote_Endnote"/>
    <w:qFormat/>
    <w:rsid w:val="001B4F87"/>
    <w:pPr>
      <w:spacing w:after="0" w:line="240" w:lineRule="auto"/>
    </w:pPr>
    <w:rPr>
      <w:rFonts w:ascii="Arial" w:eastAsia="Times New Roman" w:hAnsi="Arial"/>
      <w:sz w:val="20"/>
    </w:rPr>
  </w:style>
  <w:style w:type="paragraph" w:customStyle="1" w:styleId="EEREHead01">
    <w:name w:val="EERE_Head_01"/>
    <w:next w:val="EEREBodyText"/>
    <w:qFormat/>
    <w:rsid w:val="00123A87"/>
    <w:pPr>
      <w:keepNext/>
      <w:spacing w:before="240" w:after="60" w:line="240" w:lineRule="auto"/>
    </w:pPr>
    <w:rPr>
      <w:rFonts w:ascii="Arial" w:eastAsia="Times" w:hAnsi="Arial" w:cs="Arial"/>
      <w:b/>
      <w:color w:val="020079" w:themeColor="text1"/>
      <w:kern w:val="24"/>
      <w:sz w:val="38"/>
    </w:rPr>
  </w:style>
  <w:style w:type="paragraph" w:customStyle="1" w:styleId="EEREHead01NotinTOC">
    <w:name w:val="EERE_Head_01_Not_in_TOC"/>
    <w:basedOn w:val="EEREHead01"/>
    <w:next w:val="EEREBodyText"/>
    <w:qFormat/>
    <w:rsid w:val="00C10251"/>
  </w:style>
  <w:style w:type="paragraph" w:customStyle="1" w:styleId="EEREHead01Numbered">
    <w:name w:val="EERE_Head_01_Numbered"/>
    <w:next w:val="EEREBodyText"/>
    <w:qFormat/>
    <w:rsid w:val="00FF58A4"/>
    <w:pPr>
      <w:keepNext/>
      <w:numPr>
        <w:numId w:val="4"/>
      </w:numPr>
      <w:spacing w:before="240" w:after="60" w:line="240" w:lineRule="auto"/>
    </w:pPr>
    <w:rPr>
      <w:rFonts w:ascii="Arial" w:eastAsia="Times" w:hAnsi="Arial" w:cs="Arial"/>
      <w:b/>
      <w:color w:val="020079" w:themeColor="text1"/>
      <w:kern w:val="24"/>
      <w:sz w:val="38"/>
    </w:rPr>
  </w:style>
  <w:style w:type="paragraph" w:customStyle="1" w:styleId="EEREHead02">
    <w:name w:val="EERE_Head_02"/>
    <w:next w:val="EEREBodyText"/>
    <w:autoRedefine/>
    <w:qFormat/>
    <w:rsid w:val="006568A9"/>
    <w:pPr>
      <w:keepNext/>
      <w:spacing w:before="240" w:after="240" w:line="240" w:lineRule="auto"/>
    </w:pPr>
    <w:rPr>
      <w:rFonts w:ascii="Arial" w:eastAsia="Times" w:hAnsi="Arial" w:cs="Arial"/>
      <w:color w:val="020079" w:themeColor="text1"/>
      <w:sz w:val="28"/>
    </w:rPr>
  </w:style>
  <w:style w:type="paragraph" w:customStyle="1" w:styleId="EEREHead02Numbered">
    <w:name w:val="EERE_Head_02_Numbered"/>
    <w:next w:val="EEREBodyText"/>
    <w:qFormat/>
    <w:rsid w:val="002F6C1E"/>
    <w:pPr>
      <w:keepNext/>
      <w:numPr>
        <w:ilvl w:val="1"/>
        <w:numId w:val="4"/>
      </w:numPr>
      <w:spacing w:before="240" w:after="80" w:line="300" w:lineRule="exact"/>
    </w:pPr>
    <w:rPr>
      <w:rFonts w:ascii="Arial" w:eastAsia="Times" w:hAnsi="Arial" w:cs="Arial"/>
      <w:color w:val="020079" w:themeColor="text1"/>
      <w:sz w:val="28"/>
    </w:rPr>
  </w:style>
  <w:style w:type="paragraph" w:customStyle="1" w:styleId="EEREHead03">
    <w:name w:val="EERE_Head_03"/>
    <w:next w:val="EEREBodyText"/>
    <w:qFormat/>
    <w:rsid w:val="008020F5"/>
    <w:pPr>
      <w:keepNext/>
      <w:spacing w:before="120" w:after="80" w:line="240" w:lineRule="exact"/>
    </w:pPr>
    <w:rPr>
      <w:rFonts w:ascii="Arial" w:eastAsia="Times" w:hAnsi="Arial"/>
      <w:b/>
    </w:rPr>
  </w:style>
  <w:style w:type="paragraph" w:customStyle="1" w:styleId="EEREHead03Numbered">
    <w:name w:val="EERE_Head_03_Numbered"/>
    <w:next w:val="EEREBodyText"/>
    <w:qFormat/>
    <w:rsid w:val="008020F5"/>
    <w:pPr>
      <w:keepNext/>
      <w:numPr>
        <w:ilvl w:val="2"/>
        <w:numId w:val="4"/>
      </w:numPr>
      <w:spacing w:after="80" w:line="240" w:lineRule="auto"/>
    </w:pPr>
    <w:rPr>
      <w:rFonts w:ascii="Arial" w:eastAsia="Times" w:hAnsi="Arial"/>
      <w:b/>
    </w:rPr>
  </w:style>
  <w:style w:type="paragraph" w:customStyle="1" w:styleId="EEREHead04">
    <w:name w:val="EERE_Head_04"/>
    <w:next w:val="EEREBodyText"/>
    <w:autoRedefine/>
    <w:qFormat/>
    <w:rsid w:val="001014F4"/>
    <w:pPr>
      <w:keepNext/>
      <w:spacing w:after="60" w:line="240" w:lineRule="auto"/>
    </w:pPr>
    <w:rPr>
      <w:rFonts w:ascii="Arial" w:eastAsia="Times New Roman" w:hAnsi="Arial" w:cs="Tahoma"/>
      <w:b/>
      <w:i/>
      <w:szCs w:val="16"/>
    </w:rPr>
  </w:style>
  <w:style w:type="paragraph" w:customStyle="1" w:styleId="EEREHead04Numbered">
    <w:name w:val="EERE_Head_04_Numbered"/>
    <w:next w:val="EEREBodyText"/>
    <w:qFormat/>
    <w:rsid w:val="001B4F87"/>
    <w:pPr>
      <w:keepNext/>
      <w:numPr>
        <w:ilvl w:val="3"/>
        <w:numId w:val="4"/>
      </w:numPr>
      <w:spacing w:after="80" w:line="240" w:lineRule="auto"/>
    </w:pPr>
    <w:rPr>
      <w:rFonts w:ascii="Arial" w:eastAsia="Times" w:hAnsi="Arial"/>
      <w:b/>
      <w:bCs/>
      <w:i/>
    </w:rPr>
  </w:style>
  <w:style w:type="paragraph" w:customStyle="1" w:styleId="EEREHead05">
    <w:name w:val="EERE_Head_05"/>
    <w:next w:val="EEREBodyText"/>
    <w:autoRedefine/>
    <w:qFormat/>
    <w:rsid w:val="00F0465E"/>
    <w:pPr>
      <w:keepNext/>
      <w:spacing w:after="60" w:line="240" w:lineRule="auto"/>
    </w:pPr>
    <w:rPr>
      <w:rFonts w:ascii="Arial" w:eastAsia="Times" w:hAnsi="Arial"/>
    </w:rPr>
  </w:style>
  <w:style w:type="paragraph" w:customStyle="1" w:styleId="EEREHead05Numbered">
    <w:name w:val="EERE_Head_05_Numbered"/>
    <w:next w:val="EEREBodyText"/>
    <w:qFormat/>
    <w:rsid w:val="001B4F87"/>
    <w:pPr>
      <w:keepNext/>
      <w:numPr>
        <w:ilvl w:val="4"/>
        <w:numId w:val="4"/>
      </w:numPr>
      <w:spacing w:after="80" w:line="240" w:lineRule="auto"/>
    </w:pPr>
    <w:rPr>
      <w:rFonts w:ascii="Arial" w:eastAsia="Times" w:hAnsi="Arial"/>
    </w:rPr>
  </w:style>
  <w:style w:type="paragraph" w:customStyle="1" w:styleId="EEREHeader">
    <w:name w:val="EERE_Header"/>
    <w:basedOn w:val="Normal"/>
    <w:qFormat/>
    <w:rsid w:val="001B4F87"/>
    <w:pPr>
      <w:tabs>
        <w:tab w:val="center" w:pos="4680"/>
        <w:tab w:val="right" w:pos="9360"/>
      </w:tabs>
    </w:pPr>
    <w:rPr>
      <w:rFonts w:cs="Arial"/>
      <w:color w:val="4C4C4C"/>
      <w:sz w:val="20"/>
      <w:szCs w:val="19"/>
    </w:rPr>
  </w:style>
  <w:style w:type="paragraph" w:styleId="FootnoteText">
    <w:name w:val="footnote text"/>
    <w:basedOn w:val="Normal"/>
    <w:link w:val="FootnoteTextChar"/>
    <w:uiPriority w:val="99"/>
    <w:semiHidden/>
    <w:unhideWhenUsed/>
    <w:rsid w:val="00227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739"/>
    <w:rPr>
      <w:sz w:val="20"/>
      <w:szCs w:val="20"/>
    </w:rPr>
  </w:style>
  <w:style w:type="paragraph" w:customStyle="1" w:styleId="EERETableCaption">
    <w:name w:val="EERE_Table_Caption"/>
    <w:next w:val="EEREBodyText"/>
    <w:qFormat/>
    <w:rsid w:val="001B4F87"/>
    <w:pPr>
      <w:keepNext/>
      <w:autoSpaceDE w:val="0"/>
      <w:autoSpaceDN w:val="0"/>
      <w:adjustRightInd w:val="0"/>
      <w:spacing w:before="120" w:after="120" w:line="240" w:lineRule="exact"/>
      <w:jc w:val="center"/>
    </w:pPr>
    <w:rPr>
      <w:rFonts w:ascii="Arial" w:eastAsia="Times" w:hAnsi="Arial"/>
      <w:bCs/>
      <w:sz w:val="20"/>
    </w:rPr>
  </w:style>
  <w:style w:type="paragraph" w:customStyle="1" w:styleId="EERETOC01">
    <w:name w:val="EERE_TOC_01"/>
    <w:basedOn w:val="Normal"/>
    <w:link w:val="EERETOC01Char"/>
    <w:qFormat/>
    <w:rsid w:val="00F715AB"/>
    <w:pPr>
      <w:widowControl w:val="0"/>
      <w:tabs>
        <w:tab w:val="right" w:leader="dot" w:pos="9360"/>
      </w:tabs>
      <w:spacing w:before="160" w:after="40" w:line="260" w:lineRule="exact"/>
      <w:ind w:left="360" w:hanging="360"/>
      <w:outlineLvl w:val="0"/>
    </w:pPr>
    <w:rPr>
      <w:rFonts w:asciiTheme="majorHAnsi" w:eastAsia="Times" w:hAnsiTheme="majorHAnsi"/>
      <w:kern w:val="28"/>
    </w:rPr>
  </w:style>
  <w:style w:type="character" w:customStyle="1" w:styleId="EERETOC01Char">
    <w:name w:val="EERE_TOC_01 Char"/>
    <w:basedOn w:val="DefaultParagraphFont"/>
    <w:link w:val="EERETOC01"/>
    <w:rsid w:val="00F715AB"/>
    <w:rPr>
      <w:rFonts w:asciiTheme="majorHAnsi" w:eastAsia="Times" w:hAnsiTheme="majorHAnsi"/>
      <w:kern w:val="28"/>
    </w:rPr>
  </w:style>
  <w:style w:type="paragraph" w:customStyle="1" w:styleId="EERETOC02">
    <w:name w:val="EERE_TOC_02"/>
    <w:link w:val="EERETOC02Char"/>
    <w:qFormat/>
    <w:rsid w:val="00F0465E"/>
    <w:pPr>
      <w:widowControl w:val="0"/>
      <w:tabs>
        <w:tab w:val="right" w:leader="dot" w:pos="9360"/>
      </w:tabs>
      <w:spacing w:after="40" w:line="260" w:lineRule="exact"/>
      <w:ind w:left="792" w:hanging="432"/>
    </w:pPr>
    <w:rPr>
      <w:rFonts w:ascii="Arial" w:eastAsia="Times" w:hAnsi="Arial"/>
      <w:kern w:val="28"/>
    </w:rPr>
  </w:style>
  <w:style w:type="character" w:customStyle="1" w:styleId="EERETOC02Char">
    <w:name w:val="EERE_TOC_02 Char"/>
    <w:basedOn w:val="DefaultParagraphFont"/>
    <w:link w:val="EERETOC02"/>
    <w:rsid w:val="00F0465E"/>
    <w:rPr>
      <w:rFonts w:ascii="Arial" w:eastAsia="Times" w:hAnsi="Arial"/>
      <w:kern w:val="28"/>
    </w:rPr>
  </w:style>
  <w:style w:type="paragraph" w:customStyle="1" w:styleId="EERETOC03">
    <w:name w:val="EERE_TOC_03"/>
    <w:link w:val="EERETOC03Char"/>
    <w:qFormat/>
    <w:rsid w:val="00F0465E"/>
    <w:pPr>
      <w:tabs>
        <w:tab w:val="right" w:leader="dot" w:pos="9360"/>
      </w:tabs>
      <w:spacing w:after="40" w:line="250" w:lineRule="exact"/>
      <w:ind w:left="1728" w:hanging="936"/>
    </w:pPr>
    <w:rPr>
      <w:rFonts w:ascii="Arial" w:eastAsia="Times New Roman" w:hAnsi="Arial"/>
      <w:sz w:val="21"/>
    </w:rPr>
  </w:style>
  <w:style w:type="character" w:customStyle="1" w:styleId="EERETOC03Char">
    <w:name w:val="EERE_TOC_03 Char"/>
    <w:basedOn w:val="DefaultParagraphFont"/>
    <w:link w:val="EERETOC03"/>
    <w:rsid w:val="00F0465E"/>
    <w:rPr>
      <w:rFonts w:ascii="Arial" w:eastAsia="Times New Roman" w:hAnsi="Arial"/>
      <w:sz w:val="21"/>
    </w:rPr>
  </w:style>
  <w:style w:type="paragraph" w:styleId="BalloonText">
    <w:name w:val="Balloon Text"/>
    <w:basedOn w:val="Normal"/>
    <w:link w:val="BalloonTextChar"/>
    <w:uiPriority w:val="99"/>
    <w:semiHidden/>
    <w:unhideWhenUsed/>
    <w:rsid w:val="00090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65"/>
    <w:rPr>
      <w:rFonts w:ascii="Segoe UI" w:hAnsi="Segoe UI" w:cs="Segoe UI"/>
      <w:sz w:val="18"/>
      <w:szCs w:val="18"/>
    </w:rPr>
  </w:style>
  <w:style w:type="paragraph" w:customStyle="1" w:styleId="EERETitle">
    <w:name w:val="EERE_Title"/>
    <w:qFormat/>
    <w:rsid w:val="002F6C1E"/>
    <w:pPr>
      <w:spacing w:after="240" w:line="720" w:lineRule="exact"/>
      <w:ind w:right="360"/>
    </w:pPr>
    <w:rPr>
      <w:rFonts w:ascii="Arial Black" w:eastAsia="Times New Roman" w:hAnsi="Arial Black" w:cs="Arial"/>
      <w:b/>
      <w:color w:val="020079" w:themeColor="text1"/>
      <w:spacing w:val="-10"/>
      <w:sz w:val="72"/>
      <w:szCs w:val="52"/>
    </w:rPr>
  </w:style>
  <w:style w:type="paragraph" w:customStyle="1" w:styleId="EERESubtitle">
    <w:name w:val="EERE_Subtitle"/>
    <w:qFormat/>
    <w:rsid w:val="00041ED3"/>
    <w:pPr>
      <w:spacing w:after="240" w:line="440" w:lineRule="exact"/>
      <w:ind w:right="360"/>
    </w:pPr>
    <w:rPr>
      <w:rFonts w:ascii="Arial" w:eastAsia="Times New Roman" w:hAnsi="Arial" w:cs="Arial"/>
      <w:color w:val="020079" w:themeColor="text1"/>
      <w:spacing w:val="-10"/>
      <w:sz w:val="44"/>
      <w:szCs w:val="32"/>
    </w:rPr>
  </w:style>
  <w:style w:type="paragraph" w:customStyle="1" w:styleId="EEREMonthYear">
    <w:name w:val="EERE_Month Year"/>
    <w:qFormat/>
    <w:rsid w:val="001B4F87"/>
    <w:pPr>
      <w:spacing w:after="0" w:line="280" w:lineRule="exact"/>
    </w:pPr>
    <w:rPr>
      <w:rFonts w:ascii="Arial" w:eastAsia="Times New Roman" w:hAnsi="Arial" w:cs="Arial"/>
      <w:b/>
      <w:color w:val="020079" w:themeColor="text1"/>
      <w:spacing w:val="-10"/>
      <w:sz w:val="28"/>
    </w:rPr>
  </w:style>
  <w:style w:type="paragraph" w:customStyle="1" w:styleId="EEREFigureSource">
    <w:name w:val="EERE_Figure_Source"/>
    <w:basedOn w:val="Normal"/>
    <w:qFormat/>
    <w:rsid w:val="001B4F87"/>
    <w:pPr>
      <w:jc w:val="center"/>
    </w:pPr>
    <w:rPr>
      <w:i/>
      <w:iCs/>
      <w:sz w:val="16"/>
      <w:szCs w:val="18"/>
    </w:rPr>
  </w:style>
  <w:style w:type="table" w:styleId="LightShading-Accent1">
    <w:name w:val="Light Shading Accent 1"/>
    <w:basedOn w:val="TableNormal"/>
    <w:uiPriority w:val="60"/>
    <w:rsid w:val="00D01EBA"/>
    <w:pPr>
      <w:spacing w:after="0" w:line="240" w:lineRule="auto"/>
    </w:pPr>
    <w:rPr>
      <w:rFonts w:asciiTheme="minorHAnsi" w:eastAsiaTheme="minorEastAsia" w:hAnsiTheme="minorHAnsi" w:cstheme="minorBidi"/>
      <w:color w:val="0056BF" w:themeColor="accent1" w:themeShade="BF"/>
      <w:sz w:val="22"/>
      <w:szCs w:val="22"/>
    </w:rPr>
    <w:tblPr>
      <w:tblStyleRowBandSize w:val="1"/>
      <w:tblStyleColBandSize w:val="1"/>
      <w:tblBorders>
        <w:top w:val="single" w:sz="8" w:space="0" w:color="0074FF" w:themeColor="accent1"/>
        <w:bottom w:val="single" w:sz="8" w:space="0" w:color="0074FF" w:themeColor="accent1"/>
      </w:tblBorders>
    </w:tblPr>
    <w:tblStylePr w:type="firstRow">
      <w:pPr>
        <w:spacing w:before="0" w:after="0" w:line="240" w:lineRule="auto"/>
      </w:pPr>
      <w:rPr>
        <w:b/>
        <w:bCs/>
      </w:rPr>
      <w:tblPr/>
      <w:tcPr>
        <w:tcBorders>
          <w:top w:val="single" w:sz="8" w:space="0" w:color="0074FF" w:themeColor="accent1"/>
          <w:left w:val="nil"/>
          <w:bottom w:val="single" w:sz="8" w:space="0" w:color="0074FF" w:themeColor="accent1"/>
          <w:right w:val="nil"/>
          <w:insideH w:val="nil"/>
          <w:insideV w:val="nil"/>
        </w:tcBorders>
      </w:tcPr>
    </w:tblStylePr>
    <w:tblStylePr w:type="lastRow">
      <w:pPr>
        <w:spacing w:before="0" w:after="0" w:line="240" w:lineRule="auto"/>
      </w:pPr>
      <w:rPr>
        <w:b/>
        <w:bCs/>
      </w:rPr>
      <w:tblPr/>
      <w:tcPr>
        <w:tcBorders>
          <w:top w:val="single" w:sz="8" w:space="0" w:color="0074FF" w:themeColor="accent1"/>
          <w:left w:val="nil"/>
          <w:bottom w:val="single" w:sz="8" w:space="0" w:color="0074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F" w:themeFill="accent1" w:themeFillTint="3F"/>
      </w:tcPr>
    </w:tblStylePr>
    <w:tblStylePr w:type="band1Horz">
      <w:tblPr/>
      <w:tcPr>
        <w:tcBorders>
          <w:left w:val="nil"/>
          <w:right w:val="nil"/>
          <w:insideH w:val="nil"/>
          <w:insideV w:val="nil"/>
        </w:tcBorders>
        <w:shd w:val="clear" w:color="auto" w:fill="C0DCFF" w:themeFill="accent1" w:themeFillTint="3F"/>
      </w:tcPr>
    </w:tblStylePr>
  </w:style>
  <w:style w:type="character" w:customStyle="1" w:styleId="Heading3Char">
    <w:name w:val="Heading 3 Char"/>
    <w:basedOn w:val="DefaultParagraphFont"/>
    <w:link w:val="Heading3"/>
    <w:uiPriority w:val="9"/>
    <w:semiHidden/>
    <w:rsid w:val="00D94AA5"/>
    <w:rPr>
      <w:rFonts w:asciiTheme="majorHAnsi" w:eastAsiaTheme="majorEastAsia" w:hAnsiTheme="majorHAnsi" w:cstheme="majorBidi"/>
      <w:color w:val="00397F" w:themeColor="accent1" w:themeShade="7F"/>
      <w:szCs w:val="24"/>
    </w:rPr>
  </w:style>
  <w:style w:type="character" w:styleId="UnresolvedMention">
    <w:name w:val="Unresolved Mention"/>
    <w:basedOn w:val="DefaultParagraphFont"/>
    <w:uiPriority w:val="99"/>
    <w:semiHidden/>
    <w:unhideWhenUsed/>
    <w:rsid w:val="00172513"/>
    <w:rPr>
      <w:color w:val="605E5C"/>
      <w:shd w:val="clear" w:color="auto" w:fill="E1DFDD"/>
    </w:rPr>
  </w:style>
  <w:style w:type="character" w:styleId="FootnoteReference">
    <w:name w:val="footnote reference"/>
    <w:basedOn w:val="DefaultParagraphFont"/>
    <w:uiPriority w:val="99"/>
    <w:semiHidden/>
    <w:unhideWhenUsed/>
    <w:rsid w:val="0018363C"/>
    <w:rPr>
      <w:vertAlign w:val="superscript"/>
    </w:rPr>
  </w:style>
  <w:style w:type="paragraph" w:styleId="TableofFigures">
    <w:name w:val="table of figures"/>
    <w:basedOn w:val="Normal"/>
    <w:next w:val="Normal"/>
    <w:uiPriority w:val="99"/>
    <w:unhideWhenUsed/>
    <w:qFormat/>
    <w:rsid w:val="00F26930"/>
    <w:pPr>
      <w:spacing w:after="0"/>
    </w:pPr>
  </w:style>
  <w:style w:type="character" w:styleId="CommentReference">
    <w:name w:val="annotation reference"/>
    <w:basedOn w:val="DefaultParagraphFont"/>
    <w:uiPriority w:val="99"/>
    <w:semiHidden/>
    <w:unhideWhenUsed/>
    <w:rsid w:val="00090465"/>
    <w:rPr>
      <w:sz w:val="16"/>
      <w:szCs w:val="16"/>
    </w:rPr>
  </w:style>
  <w:style w:type="paragraph" w:styleId="CommentText">
    <w:name w:val="annotation text"/>
    <w:basedOn w:val="Normal"/>
    <w:link w:val="CommentTextChar"/>
    <w:uiPriority w:val="99"/>
    <w:unhideWhenUsed/>
    <w:rsid w:val="00090465"/>
    <w:pPr>
      <w:spacing w:line="240" w:lineRule="auto"/>
    </w:pPr>
    <w:rPr>
      <w:sz w:val="20"/>
    </w:rPr>
  </w:style>
  <w:style w:type="character" w:customStyle="1" w:styleId="CommentTextChar">
    <w:name w:val="Comment Text Char"/>
    <w:basedOn w:val="DefaultParagraphFont"/>
    <w:link w:val="CommentText"/>
    <w:uiPriority w:val="99"/>
    <w:rsid w:val="00090465"/>
    <w:rPr>
      <w:sz w:val="20"/>
    </w:rPr>
  </w:style>
  <w:style w:type="paragraph" w:styleId="CommentSubject">
    <w:name w:val="annotation subject"/>
    <w:basedOn w:val="CommentText"/>
    <w:next w:val="CommentText"/>
    <w:link w:val="CommentSubjectChar"/>
    <w:uiPriority w:val="99"/>
    <w:semiHidden/>
    <w:unhideWhenUsed/>
    <w:rsid w:val="00090465"/>
    <w:rPr>
      <w:b/>
      <w:bCs/>
    </w:rPr>
  </w:style>
  <w:style w:type="character" w:customStyle="1" w:styleId="CommentSubjectChar">
    <w:name w:val="Comment Subject Char"/>
    <w:basedOn w:val="CommentTextChar"/>
    <w:link w:val="CommentSubject"/>
    <w:uiPriority w:val="99"/>
    <w:semiHidden/>
    <w:rsid w:val="00090465"/>
    <w:rPr>
      <w:b/>
      <w:bCs/>
      <w:sz w:val="20"/>
    </w:rPr>
  </w:style>
  <w:style w:type="character" w:styleId="Hyperlink">
    <w:name w:val="Hyperlink"/>
    <w:basedOn w:val="DefaultParagraphFont"/>
    <w:uiPriority w:val="99"/>
    <w:unhideWhenUsed/>
    <w:rsid w:val="004F492C"/>
    <w:rPr>
      <w:rFonts w:ascii="Arial" w:hAnsi="Arial"/>
      <w:color w:val="085A9B" w:themeColor="hyperlink"/>
      <w:u w:val="single"/>
    </w:rPr>
  </w:style>
  <w:style w:type="paragraph" w:styleId="Header">
    <w:name w:val="header"/>
    <w:basedOn w:val="Normal"/>
    <w:link w:val="HeaderChar"/>
    <w:uiPriority w:val="99"/>
    <w:unhideWhenUsed/>
    <w:rsid w:val="00E50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70"/>
  </w:style>
  <w:style w:type="paragraph" w:styleId="Footer">
    <w:name w:val="footer"/>
    <w:basedOn w:val="Normal"/>
    <w:link w:val="FooterChar"/>
    <w:uiPriority w:val="99"/>
    <w:unhideWhenUsed/>
    <w:rsid w:val="00E50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70"/>
  </w:style>
  <w:style w:type="paragraph" w:styleId="TOC1">
    <w:name w:val="toc 1"/>
    <w:basedOn w:val="Normal"/>
    <w:next w:val="Normal"/>
    <w:uiPriority w:val="39"/>
    <w:unhideWhenUsed/>
    <w:qFormat/>
    <w:rsid w:val="001B4F87"/>
    <w:pPr>
      <w:spacing w:after="100"/>
    </w:pPr>
  </w:style>
  <w:style w:type="paragraph" w:styleId="TOC2">
    <w:name w:val="toc 2"/>
    <w:basedOn w:val="Normal"/>
    <w:next w:val="Normal"/>
    <w:uiPriority w:val="39"/>
    <w:unhideWhenUsed/>
    <w:qFormat/>
    <w:rsid w:val="00F26930"/>
    <w:pPr>
      <w:spacing w:after="100"/>
      <w:ind w:left="240"/>
    </w:pPr>
  </w:style>
  <w:style w:type="paragraph" w:styleId="TOC3">
    <w:name w:val="toc 3"/>
    <w:basedOn w:val="Normal"/>
    <w:next w:val="Normal"/>
    <w:uiPriority w:val="39"/>
    <w:unhideWhenUsed/>
    <w:qFormat/>
    <w:rsid w:val="00F26930"/>
    <w:pPr>
      <w:spacing w:after="100"/>
      <w:ind w:left="480"/>
    </w:pPr>
  </w:style>
  <w:style w:type="paragraph" w:styleId="ListParagraph">
    <w:name w:val="List Paragraph"/>
    <w:basedOn w:val="Normal"/>
    <w:uiPriority w:val="34"/>
    <w:qFormat/>
    <w:rsid w:val="00F0465E"/>
    <w:pPr>
      <w:spacing w:after="0" w:line="240" w:lineRule="auto"/>
      <w:ind w:left="720"/>
    </w:pPr>
    <w:rPr>
      <w:rFonts w:cs="Calibri"/>
      <w:sz w:val="22"/>
      <w:szCs w:val="22"/>
    </w:rPr>
  </w:style>
  <w:style w:type="character" w:styleId="FollowedHyperlink">
    <w:name w:val="FollowedHyperlink"/>
    <w:basedOn w:val="DefaultParagraphFont"/>
    <w:uiPriority w:val="99"/>
    <w:semiHidden/>
    <w:unhideWhenUsed/>
    <w:rsid w:val="00683B63"/>
    <w:rPr>
      <w:color w:val="00662C" w:themeColor="followedHyperlink"/>
      <w:u w:val="single"/>
    </w:rPr>
  </w:style>
  <w:style w:type="paragraph" w:customStyle="1" w:styleId="EERESectionTitle">
    <w:name w:val="EERE_Section_Title"/>
    <w:basedOn w:val="Normal"/>
    <w:qFormat/>
    <w:rsid w:val="00512374"/>
    <w:rPr>
      <w:b/>
      <w:color w:val="020079" w:themeColor="text1"/>
      <w:sz w:val="48"/>
      <w:szCs w:val="52"/>
    </w:rPr>
  </w:style>
  <w:style w:type="paragraph" w:customStyle="1" w:styleId="EERESectionSubtitle">
    <w:name w:val="EERE_Section_Subtitle"/>
    <w:basedOn w:val="Normal"/>
    <w:qFormat/>
    <w:rsid w:val="00512374"/>
    <w:pPr>
      <w:spacing w:line="240" w:lineRule="auto"/>
    </w:pPr>
    <w:rPr>
      <w:color w:val="020079" w:themeColor="text1"/>
      <w:sz w:val="32"/>
      <w:szCs w:val="32"/>
    </w:rPr>
  </w:style>
  <w:style w:type="paragraph" w:customStyle="1" w:styleId="SectionNumber">
    <w:name w:val="Section Number"/>
    <w:basedOn w:val="Normal"/>
    <w:qFormat/>
    <w:rsid w:val="00F0465E"/>
    <w:pPr>
      <w:spacing w:after="0" w:line="192" w:lineRule="auto"/>
      <w:jc w:val="center"/>
    </w:pPr>
    <w:rPr>
      <w:color w:val="FFFFFF" w:themeColor="background1"/>
      <w:sz w:val="600"/>
      <w:szCs w:val="600"/>
    </w:rPr>
  </w:style>
  <w:style w:type="paragraph" w:customStyle="1" w:styleId="Sectiondividertext">
    <w:name w:val="Section divider text"/>
    <w:basedOn w:val="Normal"/>
    <w:qFormat/>
    <w:rsid w:val="00F0465E"/>
    <w:pPr>
      <w:spacing w:after="0" w:line="192" w:lineRule="auto"/>
      <w:jc w:val="center"/>
    </w:pPr>
    <w:rPr>
      <w:b/>
      <w:bCs/>
      <w:color w:val="FFFFFF" w:themeColor="background1"/>
      <w:spacing w:val="60"/>
      <w:sz w:val="50"/>
      <w:szCs w:val="50"/>
    </w:rPr>
  </w:style>
  <w:style w:type="paragraph" w:customStyle="1" w:styleId="TOCtext">
    <w:name w:val="TOC text"/>
    <w:basedOn w:val="Normal"/>
    <w:uiPriority w:val="99"/>
    <w:qFormat/>
    <w:rsid w:val="00F26930"/>
    <w:pPr>
      <w:tabs>
        <w:tab w:val="right" w:pos="9720"/>
      </w:tabs>
      <w:autoSpaceDE w:val="0"/>
      <w:autoSpaceDN w:val="0"/>
      <w:adjustRightInd w:val="0"/>
      <w:spacing w:after="270" w:line="300" w:lineRule="atLeast"/>
      <w:textAlignment w:val="center"/>
    </w:pPr>
    <w:rPr>
      <w:rFonts w:cs="ITC Franklin Gothic Std Book"/>
      <w:color w:val="000000"/>
    </w:rPr>
  </w:style>
  <w:style w:type="table" w:styleId="ListTable4-Accent6">
    <w:name w:val="List Table 4 Accent 6"/>
    <w:basedOn w:val="TableNormal"/>
    <w:uiPriority w:val="49"/>
    <w:rsid w:val="00B267A0"/>
    <w:pPr>
      <w:spacing w:after="0" w:line="240" w:lineRule="auto"/>
    </w:pPr>
    <w:tblPr>
      <w:tblStyleRowBandSize w:val="1"/>
      <w:tblStyleColBandSize w:val="1"/>
      <w:tblBorders>
        <w:top w:val="single" w:sz="4" w:space="0" w:color="BEF7FF" w:themeColor="accent6" w:themeTint="99"/>
        <w:left w:val="single" w:sz="4" w:space="0" w:color="BEF7FF" w:themeColor="accent6" w:themeTint="99"/>
        <w:bottom w:val="single" w:sz="4" w:space="0" w:color="BEF7FF" w:themeColor="accent6" w:themeTint="99"/>
        <w:right w:val="single" w:sz="4" w:space="0" w:color="BEF7FF" w:themeColor="accent6" w:themeTint="99"/>
        <w:insideH w:val="single" w:sz="4" w:space="0" w:color="BEF7FF" w:themeColor="accent6" w:themeTint="99"/>
      </w:tblBorders>
    </w:tblPr>
    <w:tblStylePr w:type="firstRow">
      <w:rPr>
        <w:b/>
        <w:bCs/>
        <w:color w:val="FFFFFF" w:themeColor="background1"/>
      </w:rPr>
      <w:tblPr/>
      <w:tcPr>
        <w:tcBorders>
          <w:top w:val="single" w:sz="4" w:space="0" w:color="93F2FF" w:themeColor="accent6"/>
          <w:left w:val="single" w:sz="4" w:space="0" w:color="93F2FF" w:themeColor="accent6"/>
          <w:bottom w:val="single" w:sz="4" w:space="0" w:color="93F2FF" w:themeColor="accent6"/>
          <w:right w:val="single" w:sz="4" w:space="0" w:color="93F2FF" w:themeColor="accent6"/>
          <w:insideH w:val="nil"/>
        </w:tcBorders>
        <w:shd w:val="clear" w:color="auto" w:fill="93F2FF" w:themeFill="accent6"/>
      </w:tcPr>
    </w:tblStylePr>
    <w:tblStylePr w:type="lastRow">
      <w:rPr>
        <w:b/>
        <w:bCs/>
      </w:rPr>
      <w:tblPr/>
      <w:tcPr>
        <w:tcBorders>
          <w:top w:val="double" w:sz="4" w:space="0" w:color="BEF7FF" w:themeColor="accent6" w:themeTint="99"/>
        </w:tcBorders>
      </w:tcPr>
    </w:tblStylePr>
    <w:tblStylePr w:type="firstCol">
      <w:rPr>
        <w:b/>
        <w:bCs/>
      </w:rPr>
    </w:tblStylePr>
    <w:tblStylePr w:type="lastCol">
      <w:rPr>
        <w:b/>
        <w:bCs/>
      </w:rPr>
    </w:tblStylePr>
    <w:tblStylePr w:type="band1Vert">
      <w:tblPr/>
      <w:tcPr>
        <w:shd w:val="clear" w:color="auto" w:fill="E9FCFF" w:themeFill="accent6" w:themeFillTint="33"/>
      </w:tcPr>
    </w:tblStylePr>
    <w:tblStylePr w:type="band1Horz">
      <w:tblPr/>
      <w:tcPr>
        <w:shd w:val="clear" w:color="auto" w:fill="E9FCFF" w:themeFill="accent6" w:themeFillTint="33"/>
      </w:tcPr>
    </w:tblStylePr>
  </w:style>
  <w:style w:type="paragraph" w:customStyle="1" w:styleId="StyleEEREBodyTextBold">
    <w:name w:val="Style EERE_Body_Text + Bold"/>
    <w:basedOn w:val="EEREBodyText"/>
    <w:qFormat/>
    <w:rsid w:val="001B4F87"/>
    <w:rPr>
      <w:b/>
      <w:bCs/>
    </w:rPr>
  </w:style>
  <w:style w:type="paragraph" w:customStyle="1" w:styleId="StyleEEREBodyTextCustomColorRGB112262">
    <w:name w:val="Style EERE_Body_Text + Custom Color(RGB(112262))"/>
    <w:basedOn w:val="EEREBodyText"/>
    <w:rsid w:val="00F26930"/>
    <w:rPr>
      <w:color w:val="FF0000"/>
    </w:rPr>
  </w:style>
  <w:style w:type="paragraph" w:customStyle="1" w:styleId="StyleEEREBodyTextItalic">
    <w:name w:val="Style EERE_Body_Text + Italic"/>
    <w:basedOn w:val="EEREBodyText"/>
    <w:rsid w:val="001B4F87"/>
    <w:rPr>
      <w:i/>
      <w:iCs/>
    </w:rPr>
  </w:style>
  <w:style w:type="paragraph" w:customStyle="1" w:styleId="StyleEEREBullet01Subscript">
    <w:name w:val="Style EERE_Bullet_01 + Subscript"/>
    <w:basedOn w:val="EEREBullet01"/>
    <w:qFormat/>
    <w:rsid w:val="001B4F87"/>
    <w:rPr>
      <w:vertAlign w:val="subscript"/>
    </w:rPr>
  </w:style>
  <w:style w:type="paragraph" w:customStyle="1" w:styleId="Style10ptCenteredBefore3ptAfter3pt">
    <w:name w:val="Style 10 pt Centered Before:  3 pt After:  3 pt"/>
    <w:basedOn w:val="Normal"/>
    <w:qFormat/>
    <w:rsid w:val="001B4F87"/>
    <w:pPr>
      <w:spacing w:before="60" w:after="60"/>
      <w:jc w:val="center"/>
    </w:pPr>
    <w:rPr>
      <w:rFonts w:eastAsia="Times New Roman"/>
      <w:sz w:val="20"/>
      <w:szCs w:val="20"/>
    </w:rPr>
  </w:style>
  <w:style w:type="character" w:customStyle="1" w:styleId="Style8ptItalic">
    <w:name w:val="Style 8 pt Italic"/>
    <w:basedOn w:val="DefaultParagraphFont"/>
    <w:rsid w:val="001B4F87"/>
    <w:rPr>
      <w:i/>
      <w:iCs/>
      <w:sz w:val="16"/>
    </w:rPr>
  </w:style>
  <w:style w:type="paragraph" w:customStyle="1" w:styleId="StyleAfter8ptLinespacingMultiple108li">
    <w:name w:val="Style After:  8 pt Line spacing:  Multiple 1.08 li"/>
    <w:basedOn w:val="Normal"/>
    <w:rsid w:val="001B4F87"/>
    <w:pPr>
      <w:spacing w:after="160" w:line="259" w:lineRule="auto"/>
    </w:pPr>
    <w:rPr>
      <w:rFonts w:eastAsia="Times New Roman"/>
      <w:szCs w:val="20"/>
    </w:rPr>
  </w:style>
  <w:style w:type="character" w:customStyle="1" w:styleId="StyleBold">
    <w:name w:val="Style Bold"/>
    <w:basedOn w:val="DefaultParagraphFont"/>
    <w:rsid w:val="001B4F87"/>
    <w:rPr>
      <w:b/>
      <w:bCs/>
    </w:rPr>
  </w:style>
  <w:style w:type="paragraph" w:customStyle="1" w:styleId="StyleEEREBodyTextSubscript">
    <w:name w:val="Style EERE_Body_Text + Subscript"/>
    <w:basedOn w:val="EEREBodyText"/>
    <w:qFormat/>
    <w:rsid w:val="001B4F87"/>
    <w:rPr>
      <w:vertAlign w:val="subscript"/>
    </w:rPr>
  </w:style>
  <w:style w:type="paragraph" w:customStyle="1" w:styleId="StyleItalicFirstline05After6pt">
    <w:name w:val="Style Italic First line:  0.5&quot; After:  6 pt"/>
    <w:basedOn w:val="Normal"/>
    <w:qFormat/>
    <w:rsid w:val="001B4F87"/>
    <w:pPr>
      <w:spacing w:after="120"/>
      <w:ind w:firstLine="720"/>
    </w:pPr>
    <w:rPr>
      <w:rFonts w:eastAsia="Times New Roman"/>
      <w:i/>
      <w:iCs/>
      <w:szCs w:val="20"/>
    </w:rPr>
  </w:style>
  <w:style w:type="paragraph" w:customStyle="1" w:styleId="StyleBoldBackground1Centered">
    <w:name w:val="Style Bold Background 1 Centered"/>
    <w:basedOn w:val="Normal"/>
    <w:qFormat/>
    <w:rsid w:val="00B267A0"/>
    <w:pPr>
      <w:spacing w:after="0" w:line="240" w:lineRule="auto"/>
      <w:jc w:val="center"/>
    </w:pPr>
    <w:rPr>
      <w:rFonts w:eastAsia="Times New Roman"/>
      <w:b/>
      <w:bCs/>
      <w:color w:val="020079" w:themeColor="text1"/>
      <w:szCs w:val="20"/>
    </w:rPr>
  </w:style>
  <w:style w:type="table" w:styleId="GridTable4-Accent1">
    <w:name w:val="Grid Table 4 Accent 1"/>
    <w:basedOn w:val="TableNormal"/>
    <w:uiPriority w:val="49"/>
    <w:rsid w:val="001C2DB3"/>
    <w:pPr>
      <w:spacing w:after="0" w:line="240" w:lineRule="auto"/>
    </w:pPr>
    <w:tblPr>
      <w:tblStyleRowBandSize w:val="1"/>
      <w:tblStyleColBandSize w:val="1"/>
      <w:tblBorders>
        <w:top w:val="single" w:sz="4" w:space="0" w:color="66ABFF" w:themeColor="accent1" w:themeTint="99"/>
        <w:left w:val="single" w:sz="4" w:space="0" w:color="66ABFF" w:themeColor="accent1" w:themeTint="99"/>
        <w:bottom w:val="single" w:sz="4" w:space="0" w:color="66ABFF" w:themeColor="accent1" w:themeTint="99"/>
        <w:right w:val="single" w:sz="4" w:space="0" w:color="66ABFF" w:themeColor="accent1" w:themeTint="99"/>
        <w:insideH w:val="single" w:sz="4" w:space="0" w:color="66ABFF" w:themeColor="accent1" w:themeTint="99"/>
        <w:insideV w:val="single" w:sz="4" w:space="0" w:color="66ABFF" w:themeColor="accent1" w:themeTint="99"/>
      </w:tblBorders>
    </w:tblPr>
    <w:tcPr>
      <w:vAlign w:val="center"/>
    </w:tcPr>
    <w:tblStylePr w:type="firstRow">
      <w:rPr>
        <w:b/>
        <w:bCs/>
        <w:color w:val="FFFFFF" w:themeColor="background1"/>
      </w:rPr>
      <w:tblPr/>
      <w:tcPr>
        <w:tcBorders>
          <w:top w:val="single" w:sz="4" w:space="0" w:color="0074FF" w:themeColor="accent1"/>
          <w:left w:val="single" w:sz="4" w:space="0" w:color="0074FF" w:themeColor="accent1"/>
          <w:bottom w:val="single" w:sz="4" w:space="0" w:color="0074FF" w:themeColor="accent1"/>
          <w:right w:val="single" w:sz="4" w:space="0" w:color="0074FF" w:themeColor="accent1"/>
          <w:insideH w:val="nil"/>
          <w:insideV w:val="nil"/>
        </w:tcBorders>
        <w:shd w:val="clear" w:color="auto" w:fill="0074FF" w:themeFill="accent1"/>
      </w:tcPr>
    </w:tblStylePr>
    <w:tblStylePr w:type="lastRow">
      <w:rPr>
        <w:b/>
        <w:bCs/>
      </w:rPr>
      <w:tblPr/>
      <w:tcPr>
        <w:tcBorders>
          <w:top w:val="double" w:sz="4" w:space="0" w:color="0074FF" w:themeColor="accent1"/>
        </w:tcBorders>
      </w:tcPr>
    </w:tblStylePr>
    <w:tblStylePr w:type="firstCol">
      <w:rPr>
        <w:b/>
        <w:bCs/>
      </w:rPr>
    </w:tblStylePr>
    <w:tblStylePr w:type="lastCol">
      <w:rPr>
        <w:b/>
        <w:bCs/>
      </w:rPr>
    </w:tblStylePr>
    <w:tblStylePr w:type="band1Vert">
      <w:tblPr/>
      <w:tcPr>
        <w:shd w:val="clear" w:color="auto" w:fill="CCE3FF" w:themeFill="accent1" w:themeFillTint="33"/>
      </w:tcPr>
    </w:tblStylePr>
    <w:tblStylePr w:type="band1Horz">
      <w:tblPr/>
      <w:tcPr>
        <w:shd w:val="clear" w:color="auto" w:fill="CCE3FF" w:themeFill="accent1" w:themeFillTint="33"/>
      </w:tcPr>
    </w:tblStylePr>
  </w:style>
  <w:style w:type="table" w:styleId="GridTable5Dark-Accent1">
    <w:name w:val="Grid Table 5 Dark Accent 1"/>
    <w:aliases w:val="EERE_Light_Green_Table"/>
    <w:basedOn w:val="TableNormal"/>
    <w:uiPriority w:val="50"/>
    <w:rsid w:val="00544461"/>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3FF" w:themeFill="accent1" w:themeFillTint="33"/>
    </w:tcPr>
    <w:tblStylePr w:type="firstRow">
      <w:pPr>
        <w:jc w:val="center"/>
      </w:pPr>
      <w:rPr>
        <w:rFonts w:asciiTheme="majorHAnsi" w:hAnsiTheme="majorHAnsi"/>
        <w:b/>
        <w:bCs/>
        <w:color w:val="020079" w:themeColor="text1"/>
        <w:sz w:val="24"/>
      </w:rPr>
      <w:tblPr/>
      <w:tcPr>
        <w:tcBorders>
          <w:top w:val="single" w:sz="8" w:space="0" w:color="FFFFFF" w:themeColor="background1"/>
          <w:left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74FF" w:themeFill="accent1"/>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4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4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4FF" w:themeFill="accent1"/>
      </w:tcPr>
    </w:tblStylePr>
    <w:tblStylePr w:type="band1Vert">
      <w:tblPr/>
      <w:tcPr>
        <w:shd w:val="clear" w:color="auto" w:fill="99C7FF" w:themeFill="accent1" w:themeFillTint="66"/>
      </w:tcPr>
    </w:tblStylePr>
    <w:tblStylePr w:type="band1Horz">
      <w:tblPr/>
      <w:tcPr>
        <w:shd w:val="clear" w:color="auto" w:fill="99C7FF" w:themeFill="accent1" w:themeFillTint="66"/>
      </w:tcPr>
    </w:tblStylePr>
    <w:tblStylePr w:type="band2Horz">
      <w:tblPr/>
      <w:tcPr>
        <w:shd w:val="clear" w:color="auto" w:fill="EFFAE6"/>
      </w:tcPr>
    </w:tblStylePr>
  </w:style>
  <w:style w:type="table" w:styleId="GridTable5Dark-Accent4">
    <w:name w:val="Grid Table 5 Dark Accent 4"/>
    <w:aliases w:val="EERE_Light_Blue_Table"/>
    <w:basedOn w:val="TableNormal"/>
    <w:uiPriority w:val="50"/>
    <w:rsid w:val="00DD05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6" w:themeFill="accent4" w:themeFillTint="33"/>
      <w:vAlign w:val="center"/>
    </w:tcPr>
    <w:tblStylePr w:type="firstRow">
      <w:pPr>
        <w:jc w:val="center"/>
      </w:pPr>
      <w:tblPr/>
      <w:tcPr>
        <w:shd w:val="clear" w:color="auto" w:fill="00A9E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3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3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33" w:themeFill="accent4"/>
      </w:tcPr>
    </w:tblStylePr>
    <w:tblStylePr w:type="band1Vert">
      <w:tblPr/>
      <w:tcPr>
        <w:shd w:val="clear" w:color="auto" w:fill="FFC1AD" w:themeFill="accent4" w:themeFillTint="66"/>
      </w:tcPr>
    </w:tblStylePr>
    <w:tblStylePr w:type="band1Horz">
      <w:tblPr/>
      <w:tcPr>
        <w:shd w:val="clear" w:color="auto" w:fill="FFC1AD" w:themeFill="accent4" w:themeFillTint="66"/>
      </w:tcPr>
    </w:tblStylePr>
  </w:style>
  <w:style w:type="paragraph" w:customStyle="1" w:styleId="StyleBoldCentered">
    <w:name w:val="Style Bold Centered"/>
    <w:basedOn w:val="Normal"/>
    <w:qFormat/>
    <w:rsid w:val="00123A87"/>
    <w:pPr>
      <w:spacing w:after="0" w:line="240" w:lineRule="auto"/>
      <w:jc w:val="center"/>
    </w:pPr>
    <w:rPr>
      <w:rFonts w:eastAsia="Times New Roman"/>
      <w:b/>
      <w:bCs/>
      <w:szCs w:val="20"/>
    </w:rPr>
  </w:style>
  <w:style w:type="table" w:styleId="TableGrid">
    <w:name w:val="Table Grid"/>
    <w:basedOn w:val="TableNormal"/>
    <w:uiPriority w:val="39"/>
    <w:rsid w:val="003F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RENumberedList">
    <w:name w:val="EERE_Numbered_List"/>
    <w:basedOn w:val="EEREBodyText"/>
    <w:rsid w:val="008020F5"/>
    <w:pPr>
      <w:numPr>
        <w:numId w:val="6"/>
      </w:numPr>
    </w:pPr>
  </w:style>
  <w:style w:type="paragraph" w:customStyle="1" w:styleId="EERETableHeader">
    <w:name w:val="EERE_Table_Header"/>
    <w:basedOn w:val="StyleBoldBackground1Centered"/>
    <w:qFormat/>
    <w:rsid w:val="00FF58A4"/>
  </w:style>
  <w:style w:type="paragraph" w:customStyle="1" w:styleId="EERETableBodyCentered">
    <w:name w:val="EERE_Table_Body_Centered"/>
    <w:basedOn w:val="Style10ptCenteredBefore3ptAfter3pt"/>
    <w:qFormat/>
    <w:rsid w:val="00FF58A4"/>
  </w:style>
  <w:style w:type="paragraph" w:customStyle="1" w:styleId="EERETableBodyLeft">
    <w:name w:val="EERE_Table_Body_Left"/>
    <w:basedOn w:val="EERETableBodyCentered"/>
    <w:qFormat/>
    <w:rsid w:val="00F5224A"/>
    <w:pPr>
      <w:jc w:val="left"/>
    </w:pPr>
  </w:style>
  <w:style w:type="table" w:styleId="GridTable7Colorful-Accent6">
    <w:name w:val="Grid Table 7 Colorful Accent 6"/>
    <w:basedOn w:val="TableNormal"/>
    <w:uiPriority w:val="52"/>
    <w:rsid w:val="00856334"/>
    <w:pPr>
      <w:spacing w:after="0" w:line="240" w:lineRule="auto"/>
    </w:pPr>
    <w:rPr>
      <w:color w:val="2EE5FF" w:themeColor="accent6" w:themeShade="BF"/>
    </w:rPr>
    <w:tblPr>
      <w:tblStyleRowBandSize w:val="1"/>
      <w:tblStyleColBandSize w:val="1"/>
      <w:tblBorders>
        <w:top w:val="single" w:sz="4" w:space="0" w:color="BEF7FF" w:themeColor="accent6" w:themeTint="99"/>
        <w:left w:val="single" w:sz="4" w:space="0" w:color="BEF7FF" w:themeColor="accent6" w:themeTint="99"/>
        <w:bottom w:val="single" w:sz="4" w:space="0" w:color="BEF7FF" w:themeColor="accent6" w:themeTint="99"/>
        <w:right w:val="single" w:sz="4" w:space="0" w:color="BEF7FF" w:themeColor="accent6" w:themeTint="99"/>
        <w:insideH w:val="single" w:sz="4" w:space="0" w:color="BEF7FF" w:themeColor="accent6" w:themeTint="99"/>
        <w:insideV w:val="single" w:sz="4" w:space="0" w:color="BEF7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CFF" w:themeFill="accent6" w:themeFillTint="33"/>
      </w:tcPr>
    </w:tblStylePr>
    <w:tblStylePr w:type="band1Horz">
      <w:tblPr/>
      <w:tcPr>
        <w:shd w:val="clear" w:color="auto" w:fill="E9FCFF" w:themeFill="accent6" w:themeFillTint="33"/>
      </w:tcPr>
    </w:tblStylePr>
    <w:tblStylePr w:type="neCell">
      <w:tblPr/>
      <w:tcPr>
        <w:tcBorders>
          <w:bottom w:val="single" w:sz="4" w:space="0" w:color="BEF7FF" w:themeColor="accent6" w:themeTint="99"/>
        </w:tcBorders>
      </w:tcPr>
    </w:tblStylePr>
    <w:tblStylePr w:type="nwCell">
      <w:tblPr/>
      <w:tcPr>
        <w:tcBorders>
          <w:bottom w:val="single" w:sz="4" w:space="0" w:color="BEF7FF" w:themeColor="accent6" w:themeTint="99"/>
        </w:tcBorders>
      </w:tcPr>
    </w:tblStylePr>
    <w:tblStylePr w:type="seCell">
      <w:tblPr/>
      <w:tcPr>
        <w:tcBorders>
          <w:top w:val="single" w:sz="4" w:space="0" w:color="BEF7FF" w:themeColor="accent6" w:themeTint="99"/>
        </w:tcBorders>
      </w:tcPr>
    </w:tblStylePr>
    <w:tblStylePr w:type="swCell">
      <w:tblPr/>
      <w:tcPr>
        <w:tcBorders>
          <w:top w:val="single" w:sz="4" w:space="0" w:color="BEF7FF" w:themeColor="accent6" w:themeTint="99"/>
        </w:tcBorders>
      </w:tcPr>
    </w:tblStylePr>
  </w:style>
  <w:style w:type="table" w:styleId="GridTable5Dark-Accent6">
    <w:name w:val="Grid Table 5 Dark Accent 6"/>
    <w:aliases w:val="EERE_Yellow_Table"/>
    <w:basedOn w:val="TableNormal"/>
    <w:uiPriority w:val="50"/>
    <w:rsid w:val="00DD05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CFF" w:themeFill="accent6" w:themeFillTint="33"/>
    </w:tcPr>
    <w:tblStylePr w:type="firstRow">
      <w:pPr>
        <w:jc w:val="center"/>
      </w:pPr>
      <w:rPr>
        <w:rFonts w:asciiTheme="majorHAnsi" w:hAnsiTheme="majorHAnsi"/>
        <w:b/>
        <w:bCs/>
        <w:color w:val="020079" w:themeColor="text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3F2FF" w:themeFill="accent6"/>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F2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F2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F2FF" w:themeFill="accent6"/>
      </w:tcPr>
    </w:tblStylePr>
    <w:tblStylePr w:type="band1Vert">
      <w:tblPr/>
      <w:tcPr>
        <w:shd w:val="clear" w:color="auto" w:fill="D3F9FF" w:themeFill="accent6" w:themeFillTint="66"/>
      </w:tcPr>
    </w:tblStylePr>
    <w:tblStylePr w:type="band1Horz">
      <w:tblPr/>
      <w:tcPr>
        <w:shd w:val="clear" w:color="auto" w:fill="FFE68B"/>
      </w:tcPr>
    </w:tblStylePr>
    <w:tblStylePr w:type="band2Horz">
      <w:tblPr/>
      <w:tcPr>
        <w:shd w:val="clear" w:color="auto" w:fill="FFF7D5"/>
      </w:tcPr>
    </w:tblStylePr>
  </w:style>
  <w:style w:type="table" w:styleId="GridTable5Dark">
    <w:name w:val="Grid Table 5 Dark"/>
    <w:aliases w:val="EERE_Gray_Table"/>
    <w:basedOn w:val="TableNormal"/>
    <w:uiPriority w:val="50"/>
    <w:rsid w:val="008C4E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B1FF" w:themeFill="text1" w:themeFillTint="33"/>
    </w:tcPr>
    <w:tblStylePr w:type="firstRow">
      <w:pPr>
        <w:jc w:val="center"/>
      </w:pPr>
      <w:rPr>
        <w:rFonts w:asciiTheme="majorHAnsi" w:hAnsiTheme="majorHAnsi"/>
        <w:b/>
        <w:bCs/>
        <w:color w:val="FFFFFF" w:themeColor="background1"/>
        <w:sz w:val="24"/>
      </w:rPr>
      <w:tblPr/>
      <w:tcPr>
        <w:shd w:val="clear" w:color="auto" w:fill="BFBFBF" w:themeFill="background1" w:themeFillShade="BF"/>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007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007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0079" w:themeFill="text1"/>
      </w:tcPr>
    </w:tblStylePr>
    <w:tblStylePr w:type="band1Vert">
      <w:tblPr/>
      <w:tcPr>
        <w:shd w:val="clear" w:color="auto" w:fill="6563FF" w:themeFill="text1" w:themeFillTint="66"/>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styleId="ListTable4-Accent3">
    <w:name w:val="List Table 4 Accent 3"/>
    <w:basedOn w:val="TableNormal"/>
    <w:uiPriority w:val="49"/>
    <w:rsid w:val="002F6C1E"/>
    <w:pPr>
      <w:spacing w:after="0" w:line="240" w:lineRule="auto"/>
    </w:pPr>
    <w:tblPr>
      <w:tblStyleRowBandSize w:val="1"/>
      <w:tblStyleColBandSize w:val="1"/>
      <w:tblBorders>
        <w:top w:val="single" w:sz="4" w:space="0" w:color="7BE078" w:themeColor="accent3" w:themeTint="99"/>
        <w:left w:val="single" w:sz="4" w:space="0" w:color="7BE078" w:themeColor="accent3" w:themeTint="99"/>
        <w:bottom w:val="single" w:sz="4" w:space="0" w:color="7BE078" w:themeColor="accent3" w:themeTint="99"/>
        <w:right w:val="single" w:sz="4" w:space="0" w:color="7BE078" w:themeColor="accent3" w:themeTint="99"/>
        <w:insideH w:val="single" w:sz="4" w:space="0" w:color="7BE078" w:themeColor="accent3" w:themeTint="99"/>
      </w:tblBorders>
    </w:tblPr>
    <w:tblStylePr w:type="firstRow">
      <w:rPr>
        <w:b/>
        <w:bCs/>
        <w:color w:val="FFFFFF" w:themeColor="background1"/>
      </w:rPr>
      <w:tblPr/>
      <w:tcPr>
        <w:tcBorders>
          <w:top w:val="single" w:sz="4" w:space="0" w:color="30BF2C" w:themeColor="accent3"/>
          <w:left w:val="single" w:sz="4" w:space="0" w:color="30BF2C" w:themeColor="accent3"/>
          <w:bottom w:val="single" w:sz="4" w:space="0" w:color="30BF2C" w:themeColor="accent3"/>
          <w:right w:val="single" w:sz="4" w:space="0" w:color="30BF2C" w:themeColor="accent3"/>
          <w:insideH w:val="nil"/>
        </w:tcBorders>
        <w:shd w:val="clear" w:color="auto" w:fill="30BF2C" w:themeFill="accent3"/>
      </w:tcPr>
    </w:tblStylePr>
    <w:tblStylePr w:type="lastRow">
      <w:rPr>
        <w:b/>
        <w:bCs/>
      </w:rPr>
      <w:tblPr/>
      <w:tcPr>
        <w:tcBorders>
          <w:top w:val="double" w:sz="4" w:space="0" w:color="7BE078" w:themeColor="accent3" w:themeTint="99"/>
        </w:tcBorders>
      </w:tcPr>
    </w:tblStylePr>
    <w:tblStylePr w:type="firstCol">
      <w:rPr>
        <w:b/>
        <w:bCs/>
      </w:rPr>
    </w:tblStylePr>
    <w:tblStylePr w:type="lastCol">
      <w:rPr>
        <w:b/>
        <w:bCs/>
      </w:rPr>
    </w:tblStylePr>
    <w:tblStylePr w:type="band1Vert">
      <w:tblPr/>
      <w:tcPr>
        <w:shd w:val="clear" w:color="auto" w:fill="D2F4D2" w:themeFill="accent3" w:themeFillTint="33"/>
      </w:tcPr>
    </w:tblStylePr>
    <w:tblStylePr w:type="band1Horz">
      <w:tblPr/>
      <w:tcPr>
        <w:shd w:val="clear" w:color="auto" w:fill="D2F4D2" w:themeFill="accent3" w:themeFillTint="33"/>
      </w:tcPr>
    </w:tblStylePr>
  </w:style>
  <w:style w:type="table" w:styleId="ListTable3">
    <w:name w:val="List Table 3"/>
    <w:basedOn w:val="TableNormal"/>
    <w:uiPriority w:val="48"/>
    <w:rsid w:val="002F6C1E"/>
    <w:pPr>
      <w:spacing w:after="0" w:line="240" w:lineRule="auto"/>
    </w:pPr>
    <w:tblPr>
      <w:tblStyleRowBandSize w:val="1"/>
      <w:tblStyleColBandSize w:val="1"/>
      <w:tblBorders>
        <w:top w:val="single" w:sz="4" w:space="0" w:color="020079" w:themeColor="text1"/>
        <w:left w:val="single" w:sz="4" w:space="0" w:color="020079" w:themeColor="text1"/>
        <w:bottom w:val="single" w:sz="4" w:space="0" w:color="020079" w:themeColor="text1"/>
        <w:right w:val="single" w:sz="4" w:space="0" w:color="020079" w:themeColor="text1"/>
      </w:tblBorders>
    </w:tblPr>
    <w:tblStylePr w:type="firstRow">
      <w:rPr>
        <w:b/>
        <w:bCs/>
        <w:color w:val="FFFFFF" w:themeColor="background1"/>
      </w:rPr>
      <w:tblPr/>
      <w:tcPr>
        <w:shd w:val="clear" w:color="auto" w:fill="020079" w:themeFill="text1"/>
      </w:tcPr>
    </w:tblStylePr>
    <w:tblStylePr w:type="lastRow">
      <w:rPr>
        <w:b/>
        <w:bCs/>
      </w:rPr>
      <w:tblPr/>
      <w:tcPr>
        <w:tcBorders>
          <w:top w:val="double" w:sz="4" w:space="0" w:color="02007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0079" w:themeColor="text1"/>
          <w:right w:val="single" w:sz="4" w:space="0" w:color="020079" w:themeColor="text1"/>
        </w:tcBorders>
      </w:tcPr>
    </w:tblStylePr>
    <w:tblStylePr w:type="band1Horz">
      <w:tblPr/>
      <w:tcPr>
        <w:tcBorders>
          <w:top w:val="single" w:sz="4" w:space="0" w:color="020079" w:themeColor="text1"/>
          <w:bottom w:val="single" w:sz="4" w:space="0" w:color="02007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0079" w:themeColor="text1"/>
          <w:left w:val="nil"/>
        </w:tcBorders>
      </w:tcPr>
    </w:tblStylePr>
    <w:tblStylePr w:type="swCell">
      <w:tblPr/>
      <w:tcPr>
        <w:tcBorders>
          <w:top w:val="double" w:sz="4" w:space="0" w:color="020079" w:themeColor="text1"/>
          <w:right w:val="nil"/>
        </w:tcBorders>
      </w:tcPr>
    </w:tblStylePr>
  </w:style>
  <w:style w:type="table" w:styleId="GridTable4">
    <w:name w:val="Grid Table 4"/>
    <w:basedOn w:val="TableNormal"/>
    <w:uiPriority w:val="49"/>
    <w:rsid w:val="002F6C1E"/>
    <w:pPr>
      <w:spacing w:after="0" w:line="240" w:lineRule="auto"/>
    </w:pPr>
    <w:tblPr>
      <w:tblStyleRowBandSize w:val="1"/>
      <w:tblStyleColBandSize w:val="1"/>
      <w:tblBorders>
        <w:top w:val="single" w:sz="4" w:space="0" w:color="1815FF" w:themeColor="text1" w:themeTint="99"/>
        <w:left w:val="single" w:sz="4" w:space="0" w:color="1815FF" w:themeColor="text1" w:themeTint="99"/>
        <w:bottom w:val="single" w:sz="4" w:space="0" w:color="1815FF" w:themeColor="text1" w:themeTint="99"/>
        <w:right w:val="single" w:sz="4" w:space="0" w:color="1815FF" w:themeColor="text1" w:themeTint="99"/>
        <w:insideH w:val="single" w:sz="4" w:space="0" w:color="1815FF" w:themeColor="text1" w:themeTint="99"/>
        <w:insideV w:val="single" w:sz="4" w:space="0" w:color="1815FF" w:themeColor="text1" w:themeTint="99"/>
      </w:tblBorders>
    </w:tblPr>
    <w:tblStylePr w:type="firstRow">
      <w:rPr>
        <w:b/>
        <w:bCs/>
        <w:color w:val="FFFFFF" w:themeColor="background1"/>
      </w:rPr>
      <w:tblPr/>
      <w:tcPr>
        <w:tcBorders>
          <w:top w:val="single" w:sz="4" w:space="0" w:color="020079" w:themeColor="text1"/>
          <w:left w:val="single" w:sz="4" w:space="0" w:color="020079" w:themeColor="text1"/>
          <w:bottom w:val="single" w:sz="4" w:space="0" w:color="020079" w:themeColor="text1"/>
          <w:right w:val="single" w:sz="4" w:space="0" w:color="020079" w:themeColor="text1"/>
          <w:insideH w:val="nil"/>
          <w:insideV w:val="nil"/>
        </w:tcBorders>
        <w:shd w:val="clear" w:color="auto" w:fill="020079" w:themeFill="text1"/>
      </w:tcPr>
    </w:tblStylePr>
    <w:tblStylePr w:type="lastRow">
      <w:rPr>
        <w:b/>
        <w:bCs/>
      </w:rPr>
      <w:tblPr/>
      <w:tcPr>
        <w:tcBorders>
          <w:top w:val="double" w:sz="4" w:space="0" w:color="020079" w:themeColor="text1"/>
        </w:tcBorders>
      </w:tcPr>
    </w:tblStylePr>
    <w:tblStylePr w:type="firstCol">
      <w:rPr>
        <w:b/>
        <w:bCs/>
      </w:rPr>
    </w:tblStylePr>
    <w:tblStylePr w:type="lastCol">
      <w:rPr>
        <w:b/>
        <w:bCs/>
      </w:rPr>
    </w:tblStylePr>
    <w:tblStylePr w:type="band1Vert">
      <w:tblPr/>
      <w:tcPr>
        <w:shd w:val="clear" w:color="auto" w:fill="B2B1FF" w:themeFill="text1" w:themeFillTint="33"/>
      </w:tcPr>
    </w:tblStylePr>
    <w:tblStylePr w:type="band1Horz">
      <w:tblPr/>
      <w:tcPr>
        <w:shd w:val="clear" w:color="auto" w:fill="B2B1FF" w:themeFill="text1" w:themeFillTint="33"/>
      </w:tcPr>
    </w:tblStylePr>
  </w:style>
  <w:style w:type="table" w:customStyle="1" w:styleId="EEREElectricBlueTable">
    <w:name w:val="EERE_Electric_Blue_Table"/>
    <w:basedOn w:val="TableNormal"/>
    <w:uiPriority w:val="99"/>
    <w:rsid w:val="002206DC"/>
    <w:pPr>
      <w:spacing w:after="0" w:line="240" w:lineRule="auto"/>
      <w:jc w:val="center"/>
    </w:pPr>
    <w:rPr>
      <w:rFonts w:ascii="Arial" w:hAnsi="Arial"/>
      <w:sz w:val="20"/>
    </w:rPr>
    <w:tblPr>
      <w:tblStyleRowBandSize w:val="1"/>
      <w:tblBorders>
        <w:top w:val="single" w:sz="6" w:space="0" w:color="D1D1D1" w:themeColor="background2" w:themeShade="E6"/>
        <w:left w:val="single" w:sz="6" w:space="0" w:color="D1D1D1" w:themeColor="background2" w:themeShade="E6"/>
        <w:bottom w:val="single" w:sz="6" w:space="0" w:color="D1D1D1" w:themeColor="background2" w:themeShade="E6"/>
        <w:right w:val="single" w:sz="6" w:space="0" w:color="D1D1D1" w:themeColor="background2" w:themeShade="E6"/>
        <w:insideH w:val="single" w:sz="6" w:space="0" w:color="D1D1D1" w:themeColor="background2" w:themeShade="E6"/>
        <w:insideV w:val="single" w:sz="6" w:space="0" w:color="D1D1D1" w:themeColor="background2" w:themeShade="E6"/>
      </w:tblBorders>
    </w:tblPr>
    <w:tcPr>
      <w:vAlign w:val="center"/>
    </w:tcPr>
    <w:tblStylePr w:type="firstRow">
      <w:pPr>
        <w:jc w:val="center"/>
      </w:pPr>
      <w:rPr>
        <w:rFonts w:ascii="Arial" w:hAnsi="Arial"/>
        <w:b/>
        <w:color w:val="FFFFFF" w:themeColor="background1"/>
        <w:sz w:val="24"/>
      </w:rPr>
      <w:tblPr/>
      <w:tcPr>
        <w:tc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l2br w:val="nil"/>
          <w:tr2bl w:val="nil"/>
        </w:tcBorders>
        <w:shd w:val="solid" w:color="020079" w:themeColor="text1" w:fill="020079" w:themeFill="text1"/>
      </w:tcPr>
    </w:tblStylePr>
    <w:tblStylePr w:type="band1Horz">
      <w:tblPr/>
      <w:tcPr>
        <w:tcBorders>
          <w:top w:val="single" w:sz="6" w:space="0" w:color="D1D1D1" w:themeColor="background2" w:themeShade="E6"/>
          <w:left w:val="single" w:sz="6" w:space="0" w:color="D1D1D1" w:themeColor="background2" w:themeShade="E6"/>
          <w:bottom w:val="single" w:sz="6" w:space="0" w:color="D1D1D1" w:themeColor="background2" w:themeShade="E6"/>
          <w:right w:val="single" w:sz="6" w:space="0" w:color="D1D1D1" w:themeColor="background2" w:themeShade="E6"/>
          <w:insideH w:val="single" w:sz="6" w:space="0" w:color="D1D1D1" w:themeColor="background2" w:themeShade="E6"/>
          <w:insideV w:val="single" w:sz="6" w:space="0" w:color="D1D1D1" w:themeColor="background2" w:themeShade="E6"/>
          <w:tl2br w:val="nil"/>
          <w:tr2bl w:val="nil"/>
        </w:tcBorders>
        <w:shd w:val="solid" w:color="E8E8E8" w:themeColor="background2" w:fill="E8E8E8" w:themeFill="background2"/>
      </w:tcPr>
    </w:tblStylePr>
  </w:style>
  <w:style w:type="table" w:customStyle="1" w:styleId="EEREAquaBlueTable">
    <w:name w:val="EERE_Aqua_Blue_Table"/>
    <w:basedOn w:val="TableNormal"/>
    <w:uiPriority w:val="99"/>
    <w:rsid w:val="00053311"/>
    <w:pPr>
      <w:spacing w:after="0" w:line="240" w:lineRule="auto"/>
      <w:jc w:val="center"/>
    </w:pPr>
    <w:rPr>
      <w:rFonts w:asciiTheme="minorHAnsi" w:hAnsiTheme="minorHAnsi"/>
      <w:sz w:val="20"/>
    </w:rPr>
    <w:tblPr>
      <w:tblStyleRowBandSize w:val="1"/>
      <w:tblBorders>
        <w:top w:val="single" w:sz="6" w:space="0" w:color="ADADAD" w:themeColor="background2" w:themeShade="BF"/>
        <w:left w:val="single" w:sz="6" w:space="0" w:color="ADADAD" w:themeColor="background2" w:themeShade="BF"/>
        <w:bottom w:val="single" w:sz="6" w:space="0" w:color="ADADAD" w:themeColor="background2" w:themeShade="BF"/>
        <w:right w:val="single" w:sz="6" w:space="0" w:color="ADADAD" w:themeColor="background2" w:themeShade="BF"/>
        <w:insideH w:val="single" w:sz="6" w:space="0" w:color="ADADAD" w:themeColor="background2" w:themeShade="BF"/>
        <w:insideV w:val="single" w:sz="6" w:space="0" w:color="ADADAD" w:themeColor="background2" w:themeShade="BF"/>
      </w:tblBorders>
    </w:tblPr>
    <w:tcPr>
      <w:vAlign w:val="center"/>
    </w:tcPr>
    <w:tblStylePr w:type="firstRow">
      <w:rPr>
        <w:rFonts w:asciiTheme="majorHAnsi" w:hAnsiTheme="majorHAnsi"/>
        <w:b/>
        <w:color w:val="000000" w:themeColor="text2"/>
        <w:sz w:val="24"/>
      </w:rPr>
      <w:tblPr/>
      <w:tcPr>
        <w:tc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l2br w:val="nil"/>
          <w:tr2bl w:val="nil"/>
        </w:tcBorders>
        <w:shd w:val="solid" w:color="479AFF" w:fill="0074FF" w:themeFill="accent1"/>
      </w:tcPr>
    </w:tblStylePr>
    <w:tblStylePr w:type="band1Horz">
      <w:tblPr/>
      <w:tcPr>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l2br w:val="nil"/>
          <w:tr2bl w:val="nil"/>
        </w:tcBorders>
        <w:shd w:val="solid" w:color="E8E8E8" w:themeColor="background2" w:fill="E8E8E8" w:themeFill="background2"/>
      </w:tcPr>
    </w:tblStylePr>
  </w:style>
  <w:style w:type="paragraph" w:customStyle="1" w:styleId="EERE-right-aligned-text">
    <w:name w:val="EERE-right-aligned-text"/>
    <w:basedOn w:val="EERETableCaption"/>
    <w:qFormat/>
    <w:rsid w:val="00E21678"/>
    <w:pPr>
      <w:jc w:val="right"/>
    </w:pPr>
  </w:style>
  <w:style w:type="paragraph" w:customStyle="1" w:styleId="EEREBodyTextsm">
    <w:name w:val="EERE_Body_Text_sm"/>
    <w:basedOn w:val="EEREBodyText"/>
    <w:qFormat/>
    <w:rsid w:val="00E21678"/>
    <w:rPr>
      <w:sz w:val="22"/>
    </w:rPr>
  </w:style>
  <w:style w:type="paragraph" w:customStyle="1" w:styleId="EEREQAtabbed-extra">
    <w:name w:val="EERE_QA_tabbed-extra"/>
    <w:qFormat/>
    <w:rsid w:val="006568A9"/>
    <w:pPr>
      <w:ind w:left="1440" w:hanging="720"/>
    </w:pPr>
    <w:rPr>
      <w:rFonts w:ascii="Arial" w:eastAsia="Times" w:hAnsi="Arial"/>
      <w:sz w:val="22"/>
    </w:rPr>
  </w:style>
  <w:style w:type="paragraph" w:customStyle="1" w:styleId="EEREQAtabbedoption2">
    <w:name w:val="EERE_QA_tabbed_option2"/>
    <w:basedOn w:val="EEREQAtabbed-extra"/>
    <w:qFormat/>
    <w:rsid w:val="00E47F5E"/>
    <w:pPr>
      <w:pBdr>
        <w:bottom w:val="single" w:sz="4" w:space="7" w:color="D1D1D1" w:themeColor="background2" w:themeShade="E6"/>
      </w:pBdr>
      <w:spacing w:after="240"/>
    </w:pPr>
  </w:style>
  <w:style w:type="paragraph" w:customStyle="1" w:styleId="EEREQAtabbed-extra-option2">
    <w:name w:val="EERE_QA_tabbed-extra-option2"/>
    <w:basedOn w:val="EEREQAtabbed-extra"/>
    <w:qFormat/>
    <w:rsid w:val="00A15CCD"/>
    <w:pPr>
      <w:pBdr>
        <w:bottom w:val="single" w:sz="4" w:space="8" w:color="D1D1D1" w:themeColor="background2" w:themeShade="E6"/>
      </w:pBdr>
    </w:pPr>
    <w:rPr>
      <w:bCs/>
    </w:rPr>
  </w:style>
  <w:style w:type="paragraph" w:styleId="TOCHeading">
    <w:name w:val="TOC Heading"/>
    <w:basedOn w:val="Heading1"/>
    <w:next w:val="Normal"/>
    <w:uiPriority w:val="39"/>
    <w:unhideWhenUsed/>
    <w:qFormat/>
    <w:rsid w:val="00276263"/>
    <w:pPr>
      <w:spacing w:line="259" w:lineRule="auto"/>
      <w:outlineLvl w:val="9"/>
    </w:pPr>
  </w:style>
  <w:style w:type="paragraph" w:styleId="Revision">
    <w:name w:val="Revision"/>
    <w:hidden/>
    <w:uiPriority w:val="99"/>
    <w:semiHidden/>
    <w:rsid w:val="0020731F"/>
    <w:pPr>
      <w:spacing w:after="0" w:line="240" w:lineRule="auto"/>
    </w:pPr>
    <w:rPr>
      <w:rFonts w:ascii="Arial" w:hAnsi="Arial"/>
    </w:rPr>
  </w:style>
  <w:style w:type="paragraph" w:styleId="NoSpacing">
    <w:name w:val="No Spacing"/>
    <w:uiPriority w:val="1"/>
    <w:qFormat/>
    <w:rsid w:val="00C26DD3"/>
    <w:pPr>
      <w:spacing w:after="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6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gov/management/pf-2025-25-adjusting-department-energy-financial-assistance-policy-state-and-local"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energy.gov/management/pf-2025-26-adjusting-department-energy-financial-assistance-policy-nonprofit" TargetMode="Externa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urrent/title-2/subtitle-A/chapter-II/part-200/subpart-E/subject-group-ECFRd93f2a98b1f6455/section-200.414" TargetMode="Externa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management/pf-2025-27-adjusting-department-energy-financial-assistance-policy-profit-organizat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quisition.gov/far/subpart-42.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D/section-200.306" TargetMode="External"/><Relationship Id="rId22" Type="http://schemas.openxmlformats.org/officeDocument/2006/relationships/package" Target="embeddings/Microsoft_Excel_Worksheet.xls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y\OneDrive\Joelynn-NREL\NREL-working-docs\EERE\EERE-new-templates\~new-with-doe-brand\EERE-Templates-Oct2025-for-upload\TechnicalDocument-Word\EERE-Technical-Document-nophoto-aquablue-v2.dotx" TargetMode="External"/></Relationships>
</file>

<file path=word/theme/theme1.xml><?xml version="1.0" encoding="utf-8"?>
<a:theme xmlns:a="http://schemas.openxmlformats.org/drawingml/2006/main" name="Office Theme">
  <a:themeElements>
    <a:clrScheme name="DOE - EERE - NEW">
      <a:dk1>
        <a:srgbClr val="020079"/>
      </a:dk1>
      <a:lt1>
        <a:sysClr val="window" lastClr="FFFFFF"/>
      </a:lt1>
      <a:dk2>
        <a:srgbClr val="000000"/>
      </a:dk2>
      <a:lt2>
        <a:srgbClr val="E8E8E8"/>
      </a:lt2>
      <a:accent1>
        <a:srgbClr val="0074FF"/>
      </a:accent1>
      <a:accent2>
        <a:srgbClr val="FFB000"/>
      </a:accent2>
      <a:accent3>
        <a:srgbClr val="30BF2C"/>
      </a:accent3>
      <a:accent4>
        <a:srgbClr val="FF6633"/>
      </a:accent4>
      <a:accent5>
        <a:srgbClr val="AD03DE"/>
      </a:accent5>
      <a:accent6>
        <a:srgbClr val="93F2FF"/>
      </a:accent6>
      <a:hlink>
        <a:srgbClr val="085A9B"/>
      </a:hlink>
      <a:folHlink>
        <a:srgbClr val="00662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65B20DD25434FA3C41528129223C1" ma:contentTypeVersion="8" ma:contentTypeDescription="Create a new document." ma:contentTypeScope="" ma:versionID="3e6c60d8a4617a0e0f56562c1df5f232">
  <xsd:schema xmlns:xsd="http://www.w3.org/2001/XMLSchema" xmlns:xs="http://www.w3.org/2001/XMLSchema" xmlns:p="http://schemas.microsoft.com/office/2006/metadata/properties" xmlns:ns2="933f69d9-20e1-4848-9622-8a729be930a2" targetNamespace="http://schemas.microsoft.com/office/2006/metadata/properties" ma:root="true" ma:fieldsID="8c8c9d8a5489ccdbefa6732c3b166153" ns2:_="">
    <xsd:import namespace="933f69d9-20e1-4848-9622-8a729be93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f69d9-20e1-4848-9622-8a729be9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74AA-666A-4E54-84B8-E3779217E2F6}">
  <ds:schemaRefs>
    <ds:schemaRef ds:uri="http://schemas.microsoft.com/sharepoint/v3/contenttype/forms"/>
  </ds:schemaRefs>
</ds:datastoreItem>
</file>

<file path=customXml/itemProps2.xml><?xml version="1.0" encoding="utf-8"?>
<ds:datastoreItem xmlns:ds="http://schemas.openxmlformats.org/officeDocument/2006/customXml" ds:itemID="{B1591BC8-CBB3-4F70-9AED-86BCF0E8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f69d9-20e1-4848-9622-8a729be93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FBA17-4A49-474D-AD8F-7DB524BFC073}">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933f69d9-20e1-4848-9622-8a729be930a2"/>
    <ds:schemaRef ds:uri="http://purl.org/dc/terms/"/>
  </ds:schemaRefs>
</ds:datastoreItem>
</file>

<file path=customXml/itemProps4.xml><?xml version="1.0" encoding="utf-8"?>
<ds:datastoreItem xmlns:ds="http://schemas.openxmlformats.org/officeDocument/2006/customXml" ds:itemID="{1F63B5B2-3E32-400D-AA95-1533D2D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EERE-Technical-Document-nophoto-aquablue-v2</Template>
  <TotalTime>1</TotalTime>
  <Pages>6</Pages>
  <Words>2158</Words>
  <Characters>12307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Joelynn Schroeder</dc:creator>
  <cp:keywords/>
  <dc:description/>
  <cp:lastModifiedBy>Schroeder, Derek</cp:lastModifiedBy>
  <cp:revision>2</cp:revision>
  <dcterms:created xsi:type="dcterms:W3CDTF">2025-08-28T13:41:00Z</dcterms:created>
  <dcterms:modified xsi:type="dcterms:W3CDTF">2025-08-28T13:41:00Z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2024-03-06T12:38:25Z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7efe72bf-530b-4a04-86ea-9fba92417238</vt:lpwstr>
  </property>
  <property fmtid="{D5CDD505-2E9C-101B-9397-08002B2CF9AE}" pid="8" name="MSIP_Label_95965d95-ecc0-4720-b759-1f33c42ed7da_ContentBits">
    <vt:lpwstr>0</vt:lpwstr>
  </property>
  <property fmtid="{D5CDD505-2E9C-101B-9397-08002B2CF9AE}" pid="9" name="ContentTypeId">
    <vt:lpwstr>0x01010097665B20DD25434FA3C41528129223C1</vt:lpwstr>
  </property>
</Properties>
</file>