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3363" w14:textId="670A5524" w:rsidR="00E45921" w:rsidRPr="003B6451" w:rsidRDefault="00D541AE" w:rsidP="0048228A">
      <w:pPr>
        <w:pStyle w:val="Title"/>
        <w:jc w:val="center"/>
      </w:pPr>
      <w:bookmarkStart w:id="0" w:name="_top"/>
      <w:bookmarkEnd w:id="0"/>
      <w:r>
        <w:t>Low</w:t>
      </w:r>
      <w:r w:rsidR="00075B8D">
        <w:t>-</w:t>
      </w:r>
      <w:r>
        <w:t xml:space="preserve">Rise </w:t>
      </w:r>
      <w:r w:rsidR="00EF25CF" w:rsidRPr="003B6451">
        <w:t>Multifamily</w:t>
      </w:r>
      <w:r w:rsidR="00075B8D">
        <w:t xml:space="preserve"> Priority List</w:t>
      </w:r>
      <w:r w:rsidR="00EF25CF" w:rsidRPr="003B6451">
        <w:t xml:space="preserve"> </w:t>
      </w:r>
    </w:p>
    <w:p w14:paraId="37244C9C" w14:textId="77777777" w:rsidR="00373ABC" w:rsidRDefault="005A30A1" w:rsidP="0048228A">
      <w:pPr>
        <w:pStyle w:val="Title"/>
        <w:jc w:val="center"/>
      </w:pPr>
      <w:r>
        <w:t xml:space="preserve">Audit </w:t>
      </w:r>
      <w:r w:rsidR="00EF25CF" w:rsidRPr="00373ABC">
        <w:t>Procedure</w:t>
      </w:r>
      <w:r>
        <w:t>s</w:t>
      </w:r>
    </w:p>
    <w:p w14:paraId="069BC8E1" w14:textId="77777777" w:rsidR="008D5762" w:rsidRPr="008D5762" w:rsidRDefault="008D5762" w:rsidP="008D5762"/>
    <w:p w14:paraId="217608CD" w14:textId="77777777" w:rsidR="005507E2" w:rsidRPr="00167E19" w:rsidRDefault="00373ABC" w:rsidP="005507E2">
      <w:pPr>
        <w:jc w:val="center"/>
        <w:rPr>
          <w:sz w:val="24"/>
          <w:szCs w:val="24"/>
          <w:u w:val="single"/>
        </w:rPr>
      </w:pPr>
      <w:r w:rsidRPr="00167E19">
        <w:rPr>
          <w:sz w:val="24"/>
          <w:szCs w:val="24"/>
          <w:u w:val="single"/>
        </w:rPr>
        <w:t xml:space="preserve">For </w:t>
      </w:r>
      <w:r w:rsidR="005B6BA1" w:rsidRPr="00167E19">
        <w:rPr>
          <w:sz w:val="24"/>
          <w:szCs w:val="24"/>
          <w:u w:val="single"/>
        </w:rPr>
        <w:t xml:space="preserve">wood-framed </w:t>
      </w:r>
      <w:r w:rsidR="00CB5F17" w:rsidRPr="00167E19">
        <w:rPr>
          <w:sz w:val="24"/>
          <w:szCs w:val="24"/>
          <w:u w:val="single"/>
        </w:rPr>
        <w:t>buildings</w:t>
      </w:r>
      <w:r w:rsidRPr="00167E19">
        <w:rPr>
          <w:sz w:val="24"/>
          <w:szCs w:val="24"/>
          <w:u w:val="single"/>
        </w:rPr>
        <w:t xml:space="preserve"> with </w:t>
      </w:r>
      <w:r w:rsidR="00D541AE" w:rsidRPr="00167E19">
        <w:rPr>
          <w:sz w:val="24"/>
          <w:szCs w:val="24"/>
          <w:u w:val="single"/>
        </w:rPr>
        <w:t>5 or more units/building, 3 stories or less in height above grade</w:t>
      </w:r>
      <w:bookmarkStart w:id="1" w:name="_Toc85643084"/>
    </w:p>
    <w:p w14:paraId="483C68A1" w14:textId="77777777" w:rsidR="00D83B49" w:rsidRDefault="00D83B49"/>
    <w:sdt>
      <w:sdtPr>
        <w:rPr>
          <w:rFonts w:asciiTheme="minorHAnsi" w:eastAsiaTheme="minorHAnsi" w:hAnsiTheme="minorHAnsi" w:cstheme="minorBidi"/>
          <w:color w:val="auto"/>
          <w:sz w:val="22"/>
          <w:szCs w:val="22"/>
        </w:rPr>
        <w:id w:val="970268716"/>
        <w:docPartObj>
          <w:docPartGallery w:val="Table of Contents"/>
          <w:docPartUnique/>
        </w:docPartObj>
      </w:sdtPr>
      <w:sdtContent>
        <w:p w14:paraId="5086BF41" w14:textId="77777777" w:rsidR="00167E19" w:rsidRDefault="00167E19">
          <w:pPr>
            <w:pStyle w:val="TOCHeading"/>
          </w:pPr>
          <w:r>
            <w:t>Table of Contents</w:t>
          </w:r>
        </w:p>
        <w:p w14:paraId="78032031" w14:textId="0AEBDFBB" w:rsidR="005D3875" w:rsidRDefault="0034117E">
          <w:pPr>
            <w:pStyle w:val="TOC1"/>
            <w:rPr>
              <w:rFonts w:eastAsiaTheme="minorEastAsia"/>
              <w:noProof/>
              <w:kern w:val="2"/>
              <w14:ligatures w14:val="standardContextual"/>
            </w:rPr>
          </w:pPr>
          <w:r>
            <w:fldChar w:fldCharType="begin"/>
          </w:r>
          <w:r w:rsidR="004E1D1E">
            <w:instrText>TOC \o "1-3" \h \z \u</w:instrText>
          </w:r>
          <w:r>
            <w:fldChar w:fldCharType="separate"/>
          </w:r>
          <w:hyperlink w:anchor="_Toc158635142" w:history="1">
            <w:r w:rsidR="005D3875" w:rsidRPr="00326D1C">
              <w:rPr>
                <w:rStyle w:val="Hyperlink"/>
                <w:noProof/>
              </w:rPr>
              <w:t>Definitions</w:t>
            </w:r>
            <w:r w:rsidR="005D3875">
              <w:rPr>
                <w:noProof/>
                <w:webHidden/>
              </w:rPr>
              <w:tab/>
            </w:r>
            <w:r w:rsidR="005D3875">
              <w:rPr>
                <w:noProof/>
                <w:webHidden/>
              </w:rPr>
              <w:fldChar w:fldCharType="begin"/>
            </w:r>
            <w:r w:rsidR="005D3875">
              <w:rPr>
                <w:noProof/>
                <w:webHidden/>
              </w:rPr>
              <w:instrText xml:space="preserve"> PAGEREF _Toc158635142 \h </w:instrText>
            </w:r>
            <w:r w:rsidR="005D3875">
              <w:rPr>
                <w:noProof/>
                <w:webHidden/>
              </w:rPr>
            </w:r>
            <w:r w:rsidR="005D3875">
              <w:rPr>
                <w:noProof/>
                <w:webHidden/>
              </w:rPr>
              <w:fldChar w:fldCharType="separate"/>
            </w:r>
            <w:r w:rsidR="005D3875">
              <w:rPr>
                <w:noProof/>
                <w:webHidden/>
              </w:rPr>
              <w:t>2</w:t>
            </w:r>
            <w:r w:rsidR="005D3875">
              <w:rPr>
                <w:noProof/>
                <w:webHidden/>
              </w:rPr>
              <w:fldChar w:fldCharType="end"/>
            </w:r>
          </w:hyperlink>
        </w:p>
        <w:p w14:paraId="2AF6FC80" w14:textId="26ED8F75" w:rsidR="005D3875" w:rsidRDefault="00000000">
          <w:pPr>
            <w:pStyle w:val="TOC1"/>
            <w:rPr>
              <w:rFonts w:eastAsiaTheme="minorEastAsia"/>
              <w:noProof/>
              <w:kern w:val="2"/>
              <w14:ligatures w14:val="standardContextual"/>
            </w:rPr>
          </w:pPr>
          <w:hyperlink w:anchor="_Toc158635143" w:history="1">
            <w:r w:rsidR="005D3875" w:rsidRPr="00326D1C">
              <w:rPr>
                <w:rStyle w:val="Hyperlink"/>
                <w:noProof/>
              </w:rPr>
              <w:t>General Administration</w:t>
            </w:r>
            <w:r w:rsidR="005D3875">
              <w:rPr>
                <w:noProof/>
                <w:webHidden/>
              </w:rPr>
              <w:tab/>
            </w:r>
            <w:r w:rsidR="005D3875">
              <w:rPr>
                <w:noProof/>
                <w:webHidden/>
              </w:rPr>
              <w:fldChar w:fldCharType="begin"/>
            </w:r>
            <w:r w:rsidR="005D3875">
              <w:rPr>
                <w:noProof/>
                <w:webHidden/>
              </w:rPr>
              <w:instrText xml:space="preserve"> PAGEREF _Toc158635143 \h </w:instrText>
            </w:r>
            <w:r w:rsidR="005D3875">
              <w:rPr>
                <w:noProof/>
                <w:webHidden/>
              </w:rPr>
            </w:r>
            <w:r w:rsidR="005D3875">
              <w:rPr>
                <w:noProof/>
                <w:webHidden/>
              </w:rPr>
              <w:fldChar w:fldCharType="separate"/>
            </w:r>
            <w:r w:rsidR="005D3875">
              <w:rPr>
                <w:noProof/>
                <w:webHidden/>
              </w:rPr>
              <w:t>3</w:t>
            </w:r>
            <w:r w:rsidR="005D3875">
              <w:rPr>
                <w:noProof/>
                <w:webHidden/>
              </w:rPr>
              <w:fldChar w:fldCharType="end"/>
            </w:r>
          </w:hyperlink>
        </w:p>
        <w:p w14:paraId="60418859" w14:textId="5F09359C" w:rsidR="005D3875" w:rsidRDefault="00000000">
          <w:pPr>
            <w:pStyle w:val="TOC2"/>
            <w:tabs>
              <w:tab w:val="right" w:leader="dot" w:pos="10790"/>
            </w:tabs>
            <w:rPr>
              <w:rFonts w:eastAsiaTheme="minorEastAsia"/>
              <w:noProof/>
              <w:kern w:val="2"/>
              <w14:ligatures w14:val="standardContextual"/>
            </w:rPr>
          </w:pPr>
          <w:hyperlink w:anchor="_Toc158635144" w:history="1">
            <w:r w:rsidR="005D3875" w:rsidRPr="00326D1C">
              <w:rPr>
                <w:rStyle w:val="Hyperlink"/>
                <w:noProof/>
              </w:rPr>
              <w:t>Eligibility</w:t>
            </w:r>
            <w:r w:rsidR="005D3875">
              <w:rPr>
                <w:noProof/>
                <w:webHidden/>
              </w:rPr>
              <w:tab/>
            </w:r>
            <w:r w:rsidR="005D3875">
              <w:rPr>
                <w:noProof/>
                <w:webHidden/>
              </w:rPr>
              <w:fldChar w:fldCharType="begin"/>
            </w:r>
            <w:r w:rsidR="005D3875">
              <w:rPr>
                <w:noProof/>
                <w:webHidden/>
              </w:rPr>
              <w:instrText xml:space="preserve"> PAGEREF _Toc158635144 \h </w:instrText>
            </w:r>
            <w:r w:rsidR="005D3875">
              <w:rPr>
                <w:noProof/>
                <w:webHidden/>
              </w:rPr>
            </w:r>
            <w:r w:rsidR="005D3875">
              <w:rPr>
                <w:noProof/>
                <w:webHidden/>
              </w:rPr>
              <w:fldChar w:fldCharType="separate"/>
            </w:r>
            <w:r w:rsidR="005D3875">
              <w:rPr>
                <w:noProof/>
                <w:webHidden/>
              </w:rPr>
              <w:t>3</w:t>
            </w:r>
            <w:r w:rsidR="005D3875">
              <w:rPr>
                <w:noProof/>
                <w:webHidden/>
              </w:rPr>
              <w:fldChar w:fldCharType="end"/>
            </w:r>
          </w:hyperlink>
        </w:p>
        <w:p w14:paraId="4D18B3F8" w14:textId="078FA666" w:rsidR="005D3875" w:rsidRDefault="00000000">
          <w:pPr>
            <w:pStyle w:val="TOC2"/>
            <w:tabs>
              <w:tab w:val="right" w:leader="dot" w:pos="10790"/>
            </w:tabs>
            <w:rPr>
              <w:rFonts w:eastAsiaTheme="minorEastAsia"/>
              <w:noProof/>
              <w:kern w:val="2"/>
              <w14:ligatures w14:val="standardContextual"/>
            </w:rPr>
          </w:pPr>
          <w:hyperlink w:anchor="_Toc158635145" w:history="1">
            <w:r w:rsidR="005D3875" w:rsidRPr="00326D1C">
              <w:rPr>
                <w:rStyle w:val="Hyperlink"/>
                <w:noProof/>
              </w:rPr>
              <w:t>Initial Audit Determination</w:t>
            </w:r>
            <w:r w:rsidR="005D3875">
              <w:rPr>
                <w:noProof/>
                <w:webHidden/>
              </w:rPr>
              <w:tab/>
            </w:r>
            <w:r w:rsidR="005D3875">
              <w:rPr>
                <w:noProof/>
                <w:webHidden/>
              </w:rPr>
              <w:fldChar w:fldCharType="begin"/>
            </w:r>
            <w:r w:rsidR="005D3875">
              <w:rPr>
                <w:noProof/>
                <w:webHidden/>
              </w:rPr>
              <w:instrText xml:space="preserve"> PAGEREF _Toc158635145 \h </w:instrText>
            </w:r>
            <w:r w:rsidR="005D3875">
              <w:rPr>
                <w:noProof/>
                <w:webHidden/>
              </w:rPr>
            </w:r>
            <w:r w:rsidR="005D3875">
              <w:rPr>
                <w:noProof/>
                <w:webHidden/>
              </w:rPr>
              <w:fldChar w:fldCharType="separate"/>
            </w:r>
            <w:r w:rsidR="005D3875">
              <w:rPr>
                <w:noProof/>
                <w:webHidden/>
              </w:rPr>
              <w:t>3</w:t>
            </w:r>
            <w:r w:rsidR="005D3875">
              <w:rPr>
                <w:noProof/>
                <w:webHidden/>
              </w:rPr>
              <w:fldChar w:fldCharType="end"/>
            </w:r>
          </w:hyperlink>
        </w:p>
        <w:p w14:paraId="47BD11AD" w14:textId="20BBD7E5" w:rsidR="005D3875" w:rsidRDefault="00000000">
          <w:pPr>
            <w:pStyle w:val="TOC2"/>
            <w:tabs>
              <w:tab w:val="right" w:leader="dot" w:pos="10790"/>
            </w:tabs>
            <w:rPr>
              <w:rFonts w:eastAsiaTheme="minorEastAsia"/>
              <w:noProof/>
              <w:kern w:val="2"/>
              <w14:ligatures w14:val="standardContextual"/>
            </w:rPr>
          </w:pPr>
          <w:hyperlink w:anchor="_Toc158635146" w:history="1">
            <w:r w:rsidR="005D3875" w:rsidRPr="00326D1C">
              <w:rPr>
                <w:rStyle w:val="Hyperlink"/>
                <w:noProof/>
              </w:rPr>
              <w:t>Allowable Costs</w:t>
            </w:r>
            <w:r w:rsidR="005D3875">
              <w:rPr>
                <w:noProof/>
                <w:webHidden/>
              </w:rPr>
              <w:tab/>
            </w:r>
            <w:r w:rsidR="005D3875">
              <w:rPr>
                <w:noProof/>
                <w:webHidden/>
              </w:rPr>
              <w:fldChar w:fldCharType="begin"/>
            </w:r>
            <w:r w:rsidR="005D3875">
              <w:rPr>
                <w:noProof/>
                <w:webHidden/>
              </w:rPr>
              <w:instrText xml:space="preserve"> PAGEREF _Toc158635146 \h </w:instrText>
            </w:r>
            <w:r w:rsidR="005D3875">
              <w:rPr>
                <w:noProof/>
                <w:webHidden/>
              </w:rPr>
            </w:r>
            <w:r w:rsidR="005D3875">
              <w:rPr>
                <w:noProof/>
                <w:webHidden/>
              </w:rPr>
              <w:fldChar w:fldCharType="separate"/>
            </w:r>
            <w:r w:rsidR="005D3875">
              <w:rPr>
                <w:noProof/>
                <w:webHidden/>
              </w:rPr>
              <w:t>3</w:t>
            </w:r>
            <w:r w:rsidR="005D3875">
              <w:rPr>
                <w:noProof/>
                <w:webHidden/>
              </w:rPr>
              <w:fldChar w:fldCharType="end"/>
            </w:r>
          </w:hyperlink>
        </w:p>
        <w:p w14:paraId="3B5BF8DB" w14:textId="766C6344" w:rsidR="005D3875" w:rsidRDefault="00000000">
          <w:pPr>
            <w:pStyle w:val="TOC2"/>
            <w:tabs>
              <w:tab w:val="right" w:leader="dot" w:pos="10790"/>
            </w:tabs>
            <w:rPr>
              <w:rFonts w:eastAsiaTheme="minorEastAsia"/>
              <w:noProof/>
              <w:kern w:val="2"/>
              <w14:ligatures w14:val="standardContextual"/>
            </w:rPr>
          </w:pPr>
          <w:hyperlink w:anchor="_Toc158635147" w:history="1">
            <w:r w:rsidR="005D3875" w:rsidRPr="00326D1C">
              <w:rPr>
                <w:rStyle w:val="Hyperlink"/>
                <w:noProof/>
              </w:rPr>
              <w:t>Leveraged Funding</w:t>
            </w:r>
            <w:r w:rsidR="005D3875">
              <w:rPr>
                <w:noProof/>
                <w:webHidden/>
              </w:rPr>
              <w:tab/>
            </w:r>
            <w:r w:rsidR="005D3875">
              <w:rPr>
                <w:noProof/>
                <w:webHidden/>
              </w:rPr>
              <w:fldChar w:fldCharType="begin"/>
            </w:r>
            <w:r w:rsidR="005D3875">
              <w:rPr>
                <w:noProof/>
                <w:webHidden/>
              </w:rPr>
              <w:instrText xml:space="preserve"> PAGEREF _Toc158635147 \h </w:instrText>
            </w:r>
            <w:r w:rsidR="005D3875">
              <w:rPr>
                <w:noProof/>
                <w:webHidden/>
              </w:rPr>
            </w:r>
            <w:r w:rsidR="005D3875">
              <w:rPr>
                <w:noProof/>
                <w:webHidden/>
              </w:rPr>
              <w:fldChar w:fldCharType="separate"/>
            </w:r>
            <w:r w:rsidR="005D3875">
              <w:rPr>
                <w:noProof/>
                <w:webHidden/>
              </w:rPr>
              <w:t>3</w:t>
            </w:r>
            <w:r w:rsidR="005D3875">
              <w:rPr>
                <w:noProof/>
                <w:webHidden/>
              </w:rPr>
              <w:fldChar w:fldCharType="end"/>
            </w:r>
          </w:hyperlink>
        </w:p>
        <w:p w14:paraId="5266CFAF" w14:textId="3A771F9A" w:rsidR="005D3875" w:rsidRDefault="00000000">
          <w:pPr>
            <w:pStyle w:val="TOC2"/>
            <w:tabs>
              <w:tab w:val="right" w:leader="dot" w:pos="10790"/>
            </w:tabs>
            <w:rPr>
              <w:rFonts w:eastAsiaTheme="minorEastAsia"/>
              <w:noProof/>
              <w:kern w:val="2"/>
              <w14:ligatures w14:val="standardContextual"/>
            </w:rPr>
          </w:pPr>
          <w:hyperlink w:anchor="_Toc158635148" w:history="1">
            <w:r w:rsidR="005D3875" w:rsidRPr="00326D1C">
              <w:rPr>
                <w:rStyle w:val="Hyperlink"/>
                <w:noProof/>
              </w:rPr>
              <w:t>Measure Skipping</w:t>
            </w:r>
            <w:r w:rsidR="005D3875">
              <w:rPr>
                <w:noProof/>
                <w:webHidden/>
              </w:rPr>
              <w:tab/>
            </w:r>
            <w:r w:rsidR="005D3875">
              <w:rPr>
                <w:noProof/>
                <w:webHidden/>
              </w:rPr>
              <w:fldChar w:fldCharType="begin"/>
            </w:r>
            <w:r w:rsidR="005D3875">
              <w:rPr>
                <w:noProof/>
                <w:webHidden/>
              </w:rPr>
              <w:instrText xml:space="preserve"> PAGEREF _Toc158635148 \h </w:instrText>
            </w:r>
            <w:r w:rsidR="005D3875">
              <w:rPr>
                <w:noProof/>
                <w:webHidden/>
              </w:rPr>
            </w:r>
            <w:r w:rsidR="005D3875">
              <w:rPr>
                <w:noProof/>
                <w:webHidden/>
              </w:rPr>
              <w:fldChar w:fldCharType="separate"/>
            </w:r>
            <w:r w:rsidR="005D3875">
              <w:rPr>
                <w:noProof/>
                <w:webHidden/>
              </w:rPr>
              <w:t>4</w:t>
            </w:r>
            <w:r w:rsidR="005D3875">
              <w:rPr>
                <w:noProof/>
                <w:webHidden/>
              </w:rPr>
              <w:fldChar w:fldCharType="end"/>
            </w:r>
          </w:hyperlink>
        </w:p>
        <w:p w14:paraId="4D3A5C84" w14:textId="0FF37E89" w:rsidR="005D3875" w:rsidRDefault="00000000">
          <w:pPr>
            <w:pStyle w:val="TOC2"/>
            <w:tabs>
              <w:tab w:val="right" w:leader="dot" w:pos="10790"/>
            </w:tabs>
            <w:rPr>
              <w:rFonts w:eastAsiaTheme="minorEastAsia"/>
              <w:noProof/>
              <w:kern w:val="2"/>
              <w14:ligatures w14:val="standardContextual"/>
            </w:rPr>
          </w:pPr>
          <w:hyperlink w:anchor="_Toc158635149" w:history="1">
            <w:r w:rsidR="005D3875" w:rsidRPr="00326D1C">
              <w:rPr>
                <w:rStyle w:val="Hyperlink"/>
                <w:noProof/>
              </w:rPr>
              <w:t>Common Areas</w:t>
            </w:r>
            <w:r w:rsidR="005D3875">
              <w:rPr>
                <w:noProof/>
                <w:webHidden/>
              </w:rPr>
              <w:tab/>
            </w:r>
            <w:r w:rsidR="005D3875">
              <w:rPr>
                <w:noProof/>
                <w:webHidden/>
              </w:rPr>
              <w:fldChar w:fldCharType="begin"/>
            </w:r>
            <w:r w:rsidR="005D3875">
              <w:rPr>
                <w:noProof/>
                <w:webHidden/>
              </w:rPr>
              <w:instrText xml:space="preserve"> PAGEREF _Toc158635149 \h </w:instrText>
            </w:r>
            <w:r w:rsidR="005D3875">
              <w:rPr>
                <w:noProof/>
                <w:webHidden/>
              </w:rPr>
            </w:r>
            <w:r w:rsidR="005D3875">
              <w:rPr>
                <w:noProof/>
                <w:webHidden/>
              </w:rPr>
              <w:fldChar w:fldCharType="separate"/>
            </w:r>
            <w:r w:rsidR="005D3875">
              <w:rPr>
                <w:noProof/>
                <w:webHidden/>
              </w:rPr>
              <w:t>4</w:t>
            </w:r>
            <w:r w:rsidR="005D3875">
              <w:rPr>
                <w:noProof/>
                <w:webHidden/>
              </w:rPr>
              <w:fldChar w:fldCharType="end"/>
            </w:r>
          </w:hyperlink>
        </w:p>
        <w:p w14:paraId="52FC1C07" w14:textId="474BEF85" w:rsidR="005D3875" w:rsidRDefault="00000000">
          <w:pPr>
            <w:pStyle w:val="TOC1"/>
            <w:rPr>
              <w:rFonts w:eastAsiaTheme="minorEastAsia"/>
              <w:noProof/>
              <w:kern w:val="2"/>
              <w14:ligatures w14:val="standardContextual"/>
            </w:rPr>
          </w:pPr>
          <w:hyperlink w:anchor="_Toc158635150" w:history="1">
            <w:r w:rsidR="005D3875" w:rsidRPr="00326D1C">
              <w:rPr>
                <w:rStyle w:val="Hyperlink"/>
                <w:noProof/>
              </w:rPr>
              <w:t>Initial Audit Procedures</w:t>
            </w:r>
            <w:r w:rsidR="005D3875">
              <w:rPr>
                <w:noProof/>
                <w:webHidden/>
              </w:rPr>
              <w:tab/>
            </w:r>
            <w:r w:rsidR="005D3875">
              <w:rPr>
                <w:noProof/>
                <w:webHidden/>
              </w:rPr>
              <w:fldChar w:fldCharType="begin"/>
            </w:r>
            <w:r w:rsidR="005D3875">
              <w:rPr>
                <w:noProof/>
                <w:webHidden/>
              </w:rPr>
              <w:instrText xml:space="preserve"> PAGEREF _Toc158635150 \h </w:instrText>
            </w:r>
            <w:r w:rsidR="005D3875">
              <w:rPr>
                <w:noProof/>
                <w:webHidden/>
              </w:rPr>
            </w:r>
            <w:r w:rsidR="005D3875">
              <w:rPr>
                <w:noProof/>
                <w:webHidden/>
              </w:rPr>
              <w:fldChar w:fldCharType="separate"/>
            </w:r>
            <w:r w:rsidR="005D3875">
              <w:rPr>
                <w:noProof/>
                <w:webHidden/>
              </w:rPr>
              <w:t>5</w:t>
            </w:r>
            <w:r w:rsidR="005D3875">
              <w:rPr>
                <w:noProof/>
                <w:webHidden/>
              </w:rPr>
              <w:fldChar w:fldCharType="end"/>
            </w:r>
          </w:hyperlink>
        </w:p>
        <w:p w14:paraId="2CCC1DD9" w14:textId="3448B418" w:rsidR="005D3875" w:rsidRDefault="00000000">
          <w:pPr>
            <w:pStyle w:val="TOC2"/>
            <w:tabs>
              <w:tab w:val="right" w:leader="dot" w:pos="10790"/>
            </w:tabs>
            <w:rPr>
              <w:rFonts w:eastAsiaTheme="minorEastAsia"/>
              <w:noProof/>
              <w:kern w:val="2"/>
              <w14:ligatures w14:val="standardContextual"/>
            </w:rPr>
          </w:pPr>
          <w:hyperlink w:anchor="_Toc158635151" w:history="1">
            <w:r w:rsidR="005D3875" w:rsidRPr="00326D1C">
              <w:rPr>
                <w:rStyle w:val="Hyperlink"/>
                <w:noProof/>
              </w:rPr>
              <w:t>Project &amp; Building Diagrams</w:t>
            </w:r>
            <w:r w:rsidR="005D3875">
              <w:rPr>
                <w:noProof/>
                <w:webHidden/>
              </w:rPr>
              <w:tab/>
            </w:r>
            <w:r w:rsidR="005D3875">
              <w:rPr>
                <w:noProof/>
                <w:webHidden/>
              </w:rPr>
              <w:fldChar w:fldCharType="begin"/>
            </w:r>
            <w:r w:rsidR="005D3875">
              <w:rPr>
                <w:noProof/>
                <w:webHidden/>
              </w:rPr>
              <w:instrText xml:space="preserve"> PAGEREF _Toc158635151 \h </w:instrText>
            </w:r>
            <w:r w:rsidR="005D3875">
              <w:rPr>
                <w:noProof/>
                <w:webHidden/>
              </w:rPr>
            </w:r>
            <w:r w:rsidR="005D3875">
              <w:rPr>
                <w:noProof/>
                <w:webHidden/>
              </w:rPr>
              <w:fldChar w:fldCharType="separate"/>
            </w:r>
            <w:r w:rsidR="005D3875">
              <w:rPr>
                <w:noProof/>
                <w:webHidden/>
              </w:rPr>
              <w:t>5</w:t>
            </w:r>
            <w:r w:rsidR="005D3875">
              <w:rPr>
                <w:noProof/>
                <w:webHidden/>
              </w:rPr>
              <w:fldChar w:fldCharType="end"/>
            </w:r>
          </w:hyperlink>
        </w:p>
        <w:p w14:paraId="2DA1D77D" w14:textId="22E97928" w:rsidR="005D3875" w:rsidRDefault="00000000">
          <w:pPr>
            <w:pStyle w:val="TOC2"/>
            <w:tabs>
              <w:tab w:val="right" w:leader="dot" w:pos="10790"/>
            </w:tabs>
            <w:rPr>
              <w:rFonts w:eastAsiaTheme="minorEastAsia"/>
              <w:noProof/>
              <w:kern w:val="2"/>
              <w14:ligatures w14:val="standardContextual"/>
            </w:rPr>
          </w:pPr>
          <w:hyperlink w:anchor="_Toc158635152" w:history="1">
            <w:r w:rsidR="005D3875" w:rsidRPr="00326D1C">
              <w:rPr>
                <w:rStyle w:val="Hyperlink"/>
                <w:noProof/>
              </w:rPr>
              <w:t>Initial Inspections</w:t>
            </w:r>
            <w:r w:rsidR="005D3875">
              <w:rPr>
                <w:noProof/>
                <w:webHidden/>
              </w:rPr>
              <w:tab/>
            </w:r>
            <w:r w:rsidR="005D3875">
              <w:rPr>
                <w:noProof/>
                <w:webHidden/>
              </w:rPr>
              <w:fldChar w:fldCharType="begin"/>
            </w:r>
            <w:r w:rsidR="005D3875">
              <w:rPr>
                <w:noProof/>
                <w:webHidden/>
              </w:rPr>
              <w:instrText xml:space="preserve"> PAGEREF _Toc158635152 \h </w:instrText>
            </w:r>
            <w:r w:rsidR="005D3875">
              <w:rPr>
                <w:noProof/>
                <w:webHidden/>
              </w:rPr>
            </w:r>
            <w:r w:rsidR="005D3875">
              <w:rPr>
                <w:noProof/>
                <w:webHidden/>
              </w:rPr>
              <w:fldChar w:fldCharType="separate"/>
            </w:r>
            <w:r w:rsidR="005D3875">
              <w:rPr>
                <w:noProof/>
                <w:webHidden/>
              </w:rPr>
              <w:t>5</w:t>
            </w:r>
            <w:r w:rsidR="005D3875">
              <w:rPr>
                <w:noProof/>
                <w:webHidden/>
              </w:rPr>
              <w:fldChar w:fldCharType="end"/>
            </w:r>
          </w:hyperlink>
        </w:p>
        <w:p w14:paraId="34D49F17" w14:textId="4F76997A" w:rsidR="005D3875" w:rsidRDefault="00000000">
          <w:pPr>
            <w:pStyle w:val="TOC3"/>
            <w:tabs>
              <w:tab w:val="right" w:leader="dot" w:pos="10790"/>
            </w:tabs>
            <w:rPr>
              <w:rFonts w:eastAsiaTheme="minorEastAsia"/>
              <w:noProof/>
              <w:kern w:val="2"/>
              <w14:ligatures w14:val="standardContextual"/>
            </w:rPr>
          </w:pPr>
          <w:hyperlink w:anchor="_Toc158635153" w:history="1">
            <w:r w:rsidR="005D3875" w:rsidRPr="00326D1C">
              <w:rPr>
                <w:rStyle w:val="Hyperlink"/>
                <w:noProof/>
              </w:rPr>
              <w:t>Building Shell Inspection</w:t>
            </w:r>
            <w:r w:rsidR="005D3875">
              <w:rPr>
                <w:noProof/>
                <w:webHidden/>
              </w:rPr>
              <w:tab/>
            </w:r>
            <w:r w:rsidR="005D3875">
              <w:rPr>
                <w:noProof/>
                <w:webHidden/>
              </w:rPr>
              <w:fldChar w:fldCharType="begin"/>
            </w:r>
            <w:r w:rsidR="005D3875">
              <w:rPr>
                <w:noProof/>
                <w:webHidden/>
              </w:rPr>
              <w:instrText xml:space="preserve"> PAGEREF _Toc158635153 \h </w:instrText>
            </w:r>
            <w:r w:rsidR="005D3875">
              <w:rPr>
                <w:noProof/>
                <w:webHidden/>
              </w:rPr>
            </w:r>
            <w:r w:rsidR="005D3875">
              <w:rPr>
                <w:noProof/>
                <w:webHidden/>
              </w:rPr>
              <w:fldChar w:fldCharType="separate"/>
            </w:r>
            <w:r w:rsidR="005D3875">
              <w:rPr>
                <w:noProof/>
                <w:webHidden/>
              </w:rPr>
              <w:t>5</w:t>
            </w:r>
            <w:r w:rsidR="005D3875">
              <w:rPr>
                <w:noProof/>
                <w:webHidden/>
              </w:rPr>
              <w:fldChar w:fldCharType="end"/>
            </w:r>
          </w:hyperlink>
        </w:p>
        <w:p w14:paraId="5BE81689" w14:textId="370DBE2C" w:rsidR="005D3875" w:rsidRDefault="00000000">
          <w:pPr>
            <w:pStyle w:val="TOC3"/>
            <w:tabs>
              <w:tab w:val="right" w:leader="dot" w:pos="10790"/>
            </w:tabs>
            <w:rPr>
              <w:rFonts w:eastAsiaTheme="minorEastAsia"/>
              <w:noProof/>
              <w:kern w:val="2"/>
              <w14:ligatures w14:val="standardContextual"/>
            </w:rPr>
          </w:pPr>
          <w:hyperlink w:anchor="_Toc158635154" w:history="1">
            <w:r w:rsidR="005D3875" w:rsidRPr="00326D1C">
              <w:rPr>
                <w:rStyle w:val="Hyperlink"/>
                <w:noProof/>
              </w:rPr>
              <w:t>Dwelling Unit Health &amp; Safety Inspection</w:t>
            </w:r>
            <w:r w:rsidR="005D3875">
              <w:rPr>
                <w:noProof/>
                <w:webHidden/>
              </w:rPr>
              <w:tab/>
            </w:r>
            <w:r w:rsidR="005D3875">
              <w:rPr>
                <w:noProof/>
                <w:webHidden/>
              </w:rPr>
              <w:fldChar w:fldCharType="begin"/>
            </w:r>
            <w:r w:rsidR="005D3875">
              <w:rPr>
                <w:noProof/>
                <w:webHidden/>
              </w:rPr>
              <w:instrText xml:space="preserve"> PAGEREF _Toc158635154 \h </w:instrText>
            </w:r>
            <w:r w:rsidR="005D3875">
              <w:rPr>
                <w:noProof/>
                <w:webHidden/>
              </w:rPr>
            </w:r>
            <w:r w:rsidR="005D3875">
              <w:rPr>
                <w:noProof/>
                <w:webHidden/>
              </w:rPr>
              <w:fldChar w:fldCharType="separate"/>
            </w:r>
            <w:r w:rsidR="005D3875">
              <w:rPr>
                <w:noProof/>
                <w:webHidden/>
              </w:rPr>
              <w:t>5</w:t>
            </w:r>
            <w:r w:rsidR="005D3875">
              <w:rPr>
                <w:noProof/>
                <w:webHidden/>
              </w:rPr>
              <w:fldChar w:fldCharType="end"/>
            </w:r>
          </w:hyperlink>
        </w:p>
        <w:p w14:paraId="71B57629" w14:textId="3110A50B" w:rsidR="005D3875" w:rsidRDefault="00000000">
          <w:pPr>
            <w:pStyle w:val="TOC3"/>
            <w:tabs>
              <w:tab w:val="right" w:leader="dot" w:pos="10790"/>
            </w:tabs>
            <w:rPr>
              <w:rFonts w:eastAsiaTheme="minorEastAsia"/>
              <w:noProof/>
              <w:kern w:val="2"/>
              <w14:ligatures w14:val="standardContextual"/>
            </w:rPr>
          </w:pPr>
          <w:hyperlink w:anchor="_Toc158635155" w:history="1">
            <w:r w:rsidR="005D3875" w:rsidRPr="00326D1C">
              <w:rPr>
                <w:rStyle w:val="Hyperlink"/>
                <w:noProof/>
              </w:rPr>
              <w:t>Combustion Safety Inspections/Testing</w:t>
            </w:r>
            <w:r w:rsidR="005D3875">
              <w:rPr>
                <w:noProof/>
                <w:webHidden/>
              </w:rPr>
              <w:tab/>
            </w:r>
            <w:r w:rsidR="005D3875">
              <w:rPr>
                <w:noProof/>
                <w:webHidden/>
              </w:rPr>
              <w:fldChar w:fldCharType="begin"/>
            </w:r>
            <w:r w:rsidR="005D3875">
              <w:rPr>
                <w:noProof/>
                <w:webHidden/>
              </w:rPr>
              <w:instrText xml:space="preserve"> PAGEREF _Toc158635155 \h </w:instrText>
            </w:r>
            <w:r w:rsidR="005D3875">
              <w:rPr>
                <w:noProof/>
                <w:webHidden/>
              </w:rPr>
            </w:r>
            <w:r w:rsidR="005D3875">
              <w:rPr>
                <w:noProof/>
                <w:webHidden/>
              </w:rPr>
              <w:fldChar w:fldCharType="separate"/>
            </w:r>
            <w:r w:rsidR="005D3875">
              <w:rPr>
                <w:noProof/>
                <w:webHidden/>
              </w:rPr>
              <w:t>6</w:t>
            </w:r>
            <w:r w:rsidR="005D3875">
              <w:rPr>
                <w:noProof/>
                <w:webHidden/>
              </w:rPr>
              <w:fldChar w:fldCharType="end"/>
            </w:r>
          </w:hyperlink>
        </w:p>
        <w:p w14:paraId="5982EE6A" w14:textId="62239E3D" w:rsidR="005D3875" w:rsidRDefault="00000000">
          <w:pPr>
            <w:pStyle w:val="TOC1"/>
            <w:rPr>
              <w:rFonts w:eastAsiaTheme="minorEastAsia"/>
              <w:noProof/>
              <w:kern w:val="2"/>
              <w14:ligatures w14:val="standardContextual"/>
            </w:rPr>
          </w:pPr>
          <w:hyperlink w:anchor="_Toc158635156" w:history="1">
            <w:r w:rsidR="005D3875" w:rsidRPr="00326D1C">
              <w:rPr>
                <w:rStyle w:val="Hyperlink"/>
                <w:noProof/>
              </w:rPr>
              <w:t>Final Inspections</w:t>
            </w:r>
            <w:r w:rsidR="005D3875">
              <w:rPr>
                <w:noProof/>
                <w:webHidden/>
              </w:rPr>
              <w:tab/>
            </w:r>
            <w:r w:rsidR="005D3875">
              <w:rPr>
                <w:noProof/>
                <w:webHidden/>
              </w:rPr>
              <w:fldChar w:fldCharType="begin"/>
            </w:r>
            <w:r w:rsidR="005D3875">
              <w:rPr>
                <w:noProof/>
                <w:webHidden/>
              </w:rPr>
              <w:instrText xml:space="preserve"> PAGEREF _Toc158635156 \h </w:instrText>
            </w:r>
            <w:r w:rsidR="005D3875">
              <w:rPr>
                <w:noProof/>
                <w:webHidden/>
              </w:rPr>
            </w:r>
            <w:r w:rsidR="005D3875">
              <w:rPr>
                <w:noProof/>
                <w:webHidden/>
              </w:rPr>
              <w:fldChar w:fldCharType="separate"/>
            </w:r>
            <w:r w:rsidR="005D3875">
              <w:rPr>
                <w:noProof/>
                <w:webHidden/>
              </w:rPr>
              <w:t>6</w:t>
            </w:r>
            <w:r w:rsidR="005D3875">
              <w:rPr>
                <w:noProof/>
                <w:webHidden/>
              </w:rPr>
              <w:fldChar w:fldCharType="end"/>
            </w:r>
          </w:hyperlink>
        </w:p>
        <w:p w14:paraId="55612613" w14:textId="0F014B87" w:rsidR="00FF06E7" w:rsidRDefault="0034117E" w:rsidP="005D3875">
          <w:pPr>
            <w:pStyle w:val="TOC1"/>
            <w:rPr>
              <w:rStyle w:val="Hyperlink"/>
              <w:noProof/>
            </w:rPr>
          </w:pPr>
          <w:r>
            <w:fldChar w:fldCharType="end"/>
          </w:r>
        </w:p>
      </w:sdtContent>
    </w:sdt>
    <w:p w14:paraId="0AFE92A7" w14:textId="77777777" w:rsidR="00167E19" w:rsidRDefault="00167E19"/>
    <w:p w14:paraId="634CCBC9" w14:textId="77777777" w:rsidR="00167E19" w:rsidRDefault="00167E19" w:rsidP="00167E19">
      <w:pPr>
        <w:ind w:right="1080"/>
      </w:pPr>
    </w:p>
    <w:p w14:paraId="1432C3ED" w14:textId="77777777" w:rsidR="005507E2" w:rsidRPr="005507E2" w:rsidRDefault="005507E2" w:rsidP="005507E2">
      <w:pPr>
        <w:rPr>
          <w:sz w:val="28"/>
          <w:szCs w:val="28"/>
          <w:u w:val="single"/>
        </w:rPr>
      </w:pPr>
      <w:r>
        <w:br w:type="page"/>
      </w:r>
    </w:p>
    <w:p w14:paraId="7A930FC5" w14:textId="77777777" w:rsidR="008D5762" w:rsidRPr="00A57A45" w:rsidRDefault="008D5762" w:rsidP="00311BC7">
      <w:pPr>
        <w:pStyle w:val="Heading1"/>
        <w:jc w:val="center"/>
      </w:pPr>
      <w:bookmarkStart w:id="2" w:name="_Toc108442463"/>
      <w:bookmarkStart w:id="3" w:name="_Toc158635142"/>
      <w:commentRangeStart w:id="4"/>
      <w:commentRangeStart w:id="5"/>
      <w:commentRangeStart w:id="6"/>
      <w:commentRangeStart w:id="7"/>
      <w:commentRangeStart w:id="8"/>
      <w:r>
        <w:lastRenderedPageBreak/>
        <w:t>Definitions</w:t>
      </w:r>
      <w:bookmarkEnd w:id="1"/>
      <w:bookmarkEnd w:id="2"/>
      <w:bookmarkEnd w:id="3"/>
      <w:commentRangeEnd w:id="4"/>
      <w:r w:rsidR="00673875">
        <w:rPr>
          <w:rStyle w:val="CommentReference"/>
          <w:rFonts w:asciiTheme="minorHAnsi" w:eastAsiaTheme="minorHAnsi" w:hAnsiTheme="minorHAnsi" w:cstheme="minorBidi"/>
          <w:color w:val="auto"/>
        </w:rPr>
        <w:commentReference w:id="4"/>
      </w:r>
      <w:commentRangeEnd w:id="5"/>
      <w:r w:rsidR="00B226E8">
        <w:rPr>
          <w:rStyle w:val="CommentReference"/>
          <w:rFonts w:asciiTheme="minorHAnsi" w:eastAsiaTheme="minorHAnsi" w:hAnsiTheme="minorHAnsi" w:cstheme="minorBidi"/>
          <w:color w:val="auto"/>
        </w:rPr>
        <w:commentReference w:id="5"/>
      </w:r>
      <w:commentRangeEnd w:id="6"/>
      <w:r w:rsidR="001C7A67">
        <w:rPr>
          <w:rStyle w:val="CommentReference"/>
          <w:rFonts w:asciiTheme="minorHAnsi" w:eastAsiaTheme="minorHAnsi" w:hAnsiTheme="minorHAnsi" w:cstheme="minorBidi"/>
          <w:color w:val="auto"/>
        </w:rPr>
        <w:commentReference w:id="6"/>
      </w:r>
      <w:commentRangeEnd w:id="7"/>
      <w:r w:rsidR="00FC2B1F">
        <w:rPr>
          <w:rStyle w:val="CommentReference"/>
          <w:rFonts w:asciiTheme="minorHAnsi" w:eastAsiaTheme="minorHAnsi" w:hAnsiTheme="minorHAnsi" w:cstheme="minorBidi"/>
          <w:color w:val="auto"/>
        </w:rPr>
        <w:commentReference w:id="7"/>
      </w:r>
      <w:commentRangeEnd w:id="8"/>
      <w:r w:rsidR="00EA7649">
        <w:rPr>
          <w:rStyle w:val="CommentReference"/>
          <w:rFonts w:asciiTheme="minorHAnsi" w:eastAsiaTheme="minorHAnsi" w:hAnsiTheme="minorHAnsi" w:cstheme="minorBidi"/>
          <w:color w:val="auto"/>
        </w:rPr>
        <w:commentReference w:id="8"/>
      </w:r>
    </w:p>
    <w:p w14:paraId="434FD31B" w14:textId="6A756C62" w:rsidR="008D5762" w:rsidRDefault="4D23126E" w:rsidP="5AC99018">
      <w:pPr>
        <w:spacing w:before="120" w:after="100" w:afterAutospacing="1" w:line="240" w:lineRule="auto"/>
      </w:pPr>
      <w:r w:rsidRPr="5AC99018">
        <w:rPr>
          <w:i/>
          <w:iCs/>
        </w:rPr>
        <w:t>A/C:</w:t>
      </w:r>
      <w:r>
        <w:t xml:space="preserve"> Air Conditioner is a system that utilizes a refrigerant cycle to produce cooling and dehumidification for indoor spaces. They are rated in various manners depending on the age and type including EER</w:t>
      </w:r>
      <w:r w:rsidR="008B141B">
        <w:t>2</w:t>
      </w:r>
      <w:r>
        <w:t>, SEER</w:t>
      </w:r>
      <w:r w:rsidR="008B141B">
        <w:t>2</w:t>
      </w:r>
      <w:r>
        <w:t>, and CEER. The higher the number the higher the efficiency.</w:t>
      </w:r>
    </w:p>
    <w:p w14:paraId="7B19970B" w14:textId="0012F391" w:rsidR="008D5762" w:rsidRDefault="4D23126E" w:rsidP="5AC99018">
      <w:pPr>
        <w:spacing w:before="120" w:after="100" w:afterAutospacing="1" w:line="240" w:lineRule="auto"/>
      </w:pPr>
      <w:r w:rsidRPr="5AC99018">
        <w:rPr>
          <w:i/>
          <w:iCs/>
        </w:rPr>
        <w:t xml:space="preserve">AFUE: </w:t>
      </w:r>
      <w:r>
        <w:t>Annualized Fuel Utilization Efficiency is a rating for fossil fuel combustion appliances that accounts for the full combustion cycle over the entire year which may include pilot light and chimney heat loss. The higher the number the higher the efficiency.</w:t>
      </w:r>
      <w:r w:rsidRPr="5AC99018">
        <w:rPr>
          <w:i/>
          <w:iCs/>
        </w:rPr>
        <w:t xml:space="preserve"> </w:t>
      </w:r>
    </w:p>
    <w:p w14:paraId="76D0ED01" w14:textId="78E8679C" w:rsidR="008D5762" w:rsidRDefault="008D5762" w:rsidP="5AC99018">
      <w:pPr>
        <w:spacing w:before="120" w:after="100" w:afterAutospacing="1" w:line="240" w:lineRule="auto"/>
      </w:pPr>
      <w:r w:rsidRPr="5AC99018">
        <w:rPr>
          <w:i/>
          <w:iCs/>
        </w:rPr>
        <w:t>Applicable Measure</w:t>
      </w:r>
      <w:r>
        <w:t>: Any measure included on the regional priority list that can physically be installed as outlined in the priority list and does not already exist (e.g., the attic is accessible and has less than the targeted R-value of insulation existing, then insulating the attic is applicable and must be installed). Any measure deemed not to be “applicable” for the project, must be thoroughly documented including photos and reason for exclusion.</w:t>
      </w:r>
    </w:p>
    <w:p w14:paraId="53DC21FB" w14:textId="77777777" w:rsidR="008D5762" w:rsidRDefault="5D2EFF23" w:rsidP="5AC99018">
      <w:pPr>
        <w:spacing w:before="120" w:after="100" w:afterAutospacing="1" w:line="240" w:lineRule="auto"/>
      </w:pPr>
      <w:bookmarkStart w:id="9" w:name="_Int_TNgeJHhE"/>
      <w:r w:rsidRPr="5AC99018">
        <w:rPr>
          <w:i/>
          <w:iCs/>
        </w:rPr>
        <w:t>COP:</w:t>
      </w:r>
      <w:r>
        <w:t xml:space="preserve"> Coefficient of Performance is a rating used for heat pump technology that focuses specifically on the heating capacity of the unit at a given steady state outdoor temperature.</w:t>
      </w:r>
      <w:bookmarkEnd w:id="9"/>
      <w:r>
        <w:t xml:space="preserve"> The higher the number the higher the efficiency.</w:t>
      </w:r>
    </w:p>
    <w:p w14:paraId="302D4BB4" w14:textId="38283E60" w:rsidR="008D5762" w:rsidRDefault="5D2EFF23" w:rsidP="5AC99018">
      <w:pPr>
        <w:spacing w:before="120" w:after="100" w:afterAutospacing="1" w:line="240" w:lineRule="auto"/>
      </w:pPr>
      <w:r w:rsidRPr="5AC99018">
        <w:rPr>
          <w:i/>
          <w:iCs/>
        </w:rPr>
        <w:t>CEER:</w:t>
      </w:r>
      <w:r>
        <w:t xml:space="preserve"> Combined Energy Efficiency Rating is a rating used for packaged or window air conditioners that includes both the operational energy used during the cooling cycle and the standby energy used by the unit when powered on but not operating. The higher the number the higher the efficiency.</w:t>
      </w:r>
      <w:r w:rsidRPr="5AC99018">
        <w:rPr>
          <w:i/>
          <w:iCs/>
        </w:rPr>
        <w:t xml:space="preserve"> </w:t>
      </w:r>
    </w:p>
    <w:p w14:paraId="7296BADA" w14:textId="164E1010" w:rsidR="008D5762" w:rsidRDefault="5D2EFF23" w:rsidP="5AC99018">
      <w:pPr>
        <w:spacing w:before="120" w:after="100" w:afterAutospacing="1" w:line="240" w:lineRule="auto"/>
        <w:rPr>
          <w:i/>
          <w:iCs/>
        </w:rPr>
      </w:pPr>
      <w:r w:rsidRPr="5AC99018">
        <w:rPr>
          <w:i/>
          <w:iCs/>
        </w:rPr>
        <w:t>EC Motors:</w:t>
      </w:r>
      <w:r>
        <w:t xml:space="preserve"> Electronically Commutated Motors are motors who utilize DC voltage for operations and are variable speed based on DC voltage input. These motors transform AC voltage to DC voltage internally for the operation of the attached motor.</w:t>
      </w:r>
      <w:r w:rsidRPr="5AC99018">
        <w:rPr>
          <w:i/>
          <w:iCs/>
        </w:rPr>
        <w:t xml:space="preserve"> </w:t>
      </w:r>
    </w:p>
    <w:p w14:paraId="2F6198E7" w14:textId="77777777" w:rsidR="00BD6618" w:rsidRPr="00BD6618" w:rsidRDefault="00BD6618" w:rsidP="00BD6618">
      <w:pPr>
        <w:spacing w:after="0" w:line="240" w:lineRule="auto"/>
        <w:rPr>
          <w:rFonts w:ascii="Calibri" w:eastAsia="Calibri" w:hAnsi="Calibri" w:cs="Times New Roman"/>
          <w:kern w:val="2"/>
          <w14:ligatures w14:val="standardContextual"/>
        </w:rPr>
      </w:pPr>
      <w:r w:rsidRPr="00BD6618">
        <w:rPr>
          <w:rFonts w:ascii="Calibri" w:eastAsia="Calibri" w:hAnsi="Calibri" w:cs="Times New Roman"/>
          <w:i/>
          <w:iCs/>
          <w:kern w:val="2"/>
          <w14:ligatures w14:val="standardContextual"/>
        </w:rPr>
        <w:t>EER2:</w:t>
      </w:r>
      <w:r w:rsidRPr="00BD6618">
        <w:rPr>
          <w:rFonts w:ascii="Calibri" w:eastAsia="Calibri" w:hAnsi="Calibri" w:cs="Times New Roman"/>
          <w:kern w:val="2"/>
          <w14:ligatures w14:val="standardContextual"/>
        </w:rPr>
        <w:t xml:space="preserve"> Energy Efficiency Rating is a rating used for packaged or window air conditioners that only includes the </w:t>
      </w:r>
    </w:p>
    <w:p w14:paraId="4E339E86" w14:textId="77777777" w:rsidR="00BD6618" w:rsidRPr="00BD6618" w:rsidRDefault="00BD6618" w:rsidP="00BD6618">
      <w:pPr>
        <w:spacing w:after="0" w:line="240" w:lineRule="auto"/>
        <w:rPr>
          <w:rFonts w:ascii="Calibri" w:eastAsia="Calibri" w:hAnsi="Calibri" w:cs="Times New Roman"/>
          <w:kern w:val="2"/>
          <w14:ligatures w14:val="standardContextual"/>
        </w:rPr>
      </w:pPr>
      <w:r w:rsidRPr="00BD6618">
        <w:rPr>
          <w:rFonts w:ascii="Calibri" w:eastAsia="Calibri" w:hAnsi="Calibri" w:cs="Times New Roman"/>
          <w:kern w:val="2"/>
          <w14:ligatures w14:val="standardContextual"/>
        </w:rPr>
        <w:t xml:space="preserve">operational energy used by the unit for cooling but does not include the standby energy as is rated using the CEER </w:t>
      </w:r>
    </w:p>
    <w:p w14:paraId="2D5554E5" w14:textId="77777777" w:rsidR="00BD6618" w:rsidRPr="00BD6618" w:rsidRDefault="00BD6618" w:rsidP="00BD6618">
      <w:pPr>
        <w:spacing w:after="0" w:line="240" w:lineRule="auto"/>
        <w:rPr>
          <w:rFonts w:ascii="Calibri" w:eastAsia="Calibri" w:hAnsi="Calibri" w:cs="Times New Roman"/>
          <w:kern w:val="2"/>
          <w14:ligatures w14:val="standardContextual"/>
        </w:rPr>
      </w:pPr>
      <w:r w:rsidRPr="00BD6618">
        <w:rPr>
          <w:rFonts w:ascii="Calibri" w:eastAsia="Calibri" w:hAnsi="Calibri" w:cs="Times New Roman"/>
          <w:kern w:val="2"/>
          <w14:ligatures w14:val="standardContextual"/>
        </w:rPr>
        <w:t xml:space="preserve">method. This method has been replaced with CEER for newer appliance models. The higher the number the higher the </w:t>
      </w:r>
    </w:p>
    <w:p w14:paraId="3DA6A358" w14:textId="77777777" w:rsidR="00BD6618" w:rsidRDefault="00BD6618" w:rsidP="00BD6618">
      <w:pPr>
        <w:spacing w:after="0" w:line="240" w:lineRule="auto"/>
        <w:rPr>
          <w:rFonts w:ascii="Calibri" w:eastAsia="Calibri" w:hAnsi="Calibri" w:cs="Times New Roman"/>
          <w:kern w:val="2"/>
          <w14:ligatures w14:val="standardContextual"/>
        </w:rPr>
      </w:pPr>
      <w:r w:rsidRPr="00BD6618">
        <w:rPr>
          <w:rFonts w:ascii="Calibri" w:eastAsia="Calibri" w:hAnsi="Calibri" w:cs="Times New Roman"/>
          <w:kern w:val="2"/>
          <w14:ligatures w14:val="standardContextual"/>
        </w:rPr>
        <w:t>efficiency.</w:t>
      </w:r>
    </w:p>
    <w:p w14:paraId="6CDA6F97" w14:textId="77777777" w:rsidR="00BD6618" w:rsidRPr="00BD6618" w:rsidRDefault="00BD6618" w:rsidP="00BD6618">
      <w:pPr>
        <w:spacing w:after="0" w:line="240" w:lineRule="auto"/>
        <w:rPr>
          <w:rFonts w:ascii="Calibri" w:eastAsia="Calibri" w:hAnsi="Calibri" w:cs="Times New Roman"/>
          <w:kern w:val="2"/>
          <w14:ligatures w14:val="standardContextual"/>
        </w:rPr>
      </w:pPr>
    </w:p>
    <w:p w14:paraId="498DC1C9" w14:textId="77777777" w:rsidR="00BD6618" w:rsidRPr="00BD6618" w:rsidRDefault="00BD6618" w:rsidP="00BD6618">
      <w:pPr>
        <w:spacing w:after="0" w:line="240" w:lineRule="auto"/>
        <w:rPr>
          <w:rFonts w:ascii="Calibri" w:eastAsia="Calibri" w:hAnsi="Calibri" w:cs="Times New Roman"/>
          <w:kern w:val="2"/>
          <w14:ligatures w14:val="standardContextual"/>
        </w:rPr>
      </w:pPr>
      <w:r w:rsidRPr="00BD6618">
        <w:rPr>
          <w:rFonts w:ascii="Calibri" w:eastAsia="Calibri" w:hAnsi="Calibri" w:cs="Times New Roman"/>
          <w:i/>
          <w:iCs/>
          <w:kern w:val="2"/>
          <w14:ligatures w14:val="standardContextual"/>
        </w:rPr>
        <w:t>HSPF2:</w:t>
      </w:r>
      <w:r w:rsidRPr="00BD6618">
        <w:rPr>
          <w:rFonts w:ascii="Calibri" w:eastAsia="Calibri" w:hAnsi="Calibri" w:cs="Times New Roman"/>
          <w:kern w:val="2"/>
          <w14:ligatures w14:val="standardContextual"/>
        </w:rPr>
        <w:t xml:space="preserve"> Heating Season Performance Factor is a rating used for heat pump technology that factors in the seasonal </w:t>
      </w:r>
    </w:p>
    <w:p w14:paraId="4CCAFBA9" w14:textId="116C77A6" w:rsidR="00BD6618" w:rsidRPr="00BD6618" w:rsidRDefault="00BD6618" w:rsidP="00BD6618">
      <w:pPr>
        <w:spacing w:after="0" w:line="240" w:lineRule="auto"/>
        <w:rPr>
          <w:rFonts w:ascii="Calibri" w:eastAsia="Calibri" w:hAnsi="Calibri" w:cs="Times New Roman"/>
          <w:kern w:val="2"/>
          <w14:ligatures w14:val="standardContextual"/>
        </w:rPr>
      </w:pPr>
      <w:r w:rsidRPr="00BD6618">
        <w:rPr>
          <w:rFonts w:ascii="Calibri" w:eastAsia="Calibri" w:hAnsi="Calibri" w:cs="Times New Roman"/>
          <w:kern w:val="2"/>
          <w14:ligatures w14:val="standardContextual"/>
        </w:rPr>
        <w:t>outdoor operating conditions in the calculation of heating efficiency. The higher the number the higher the efficiency</w:t>
      </w:r>
      <w:r>
        <w:rPr>
          <w:rFonts w:ascii="Calibri" w:eastAsia="Calibri" w:hAnsi="Calibri" w:cs="Times New Roman"/>
          <w:kern w:val="2"/>
          <w14:ligatures w14:val="standardContextual"/>
        </w:rPr>
        <w:br/>
      </w:r>
    </w:p>
    <w:p w14:paraId="0C273D4E" w14:textId="12F7F050" w:rsidR="008D5762" w:rsidRDefault="030D5C50" w:rsidP="00CB2023">
      <w:pPr>
        <w:spacing w:before="120" w:after="100" w:afterAutospacing="1" w:line="240" w:lineRule="auto"/>
      </w:pPr>
      <w:r w:rsidRPr="5AC99018">
        <w:rPr>
          <w:i/>
          <w:iCs/>
        </w:rPr>
        <w:t>Low-Rise Multifamily Project</w:t>
      </w:r>
      <w:r>
        <w:t>: Any single development where all buildings contain 5 or more dwelling units per building, and all buildings are 3 stories or less above grade, regardless of the total number of buildings or dwelling units.</w:t>
      </w:r>
      <w:r w:rsidRPr="5AC99018">
        <w:rPr>
          <w:i/>
          <w:iCs/>
        </w:rPr>
        <w:t xml:space="preserve"> </w:t>
      </w:r>
    </w:p>
    <w:p w14:paraId="2E53FD12" w14:textId="4B257A45" w:rsidR="008D5762" w:rsidRDefault="030D5C50" w:rsidP="5AC99018">
      <w:pPr>
        <w:spacing w:before="120" w:after="100" w:afterAutospacing="1" w:line="240" w:lineRule="auto"/>
        <w:rPr>
          <w:i/>
          <w:iCs/>
        </w:rPr>
      </w:pPr>
      <w:r w:rsidRPr="5AC99018">
        <w:rPr>
          <w:i/>
          <w:iCs/>
        </w:rPr>
        <w:t>Mandatory Measure</w:t>
      </w:r>
      <w:r>
        <w:t xml:space="preserve">: Any measure included on the regional priority list that is labeled as “mandatory” and is applicable to the project. These measures must be </w:t>
      </w:r>
      <w:r w:rsidR="0F318A7D">
        <w:t>implemented</w:t>
      </w:r>
      <w:r>
        <w:t xml:space="preserve"> if any DOE funds are to be used on the project.</w:t>
      </w:r>
      <w:r w:rsidRPr="5AC99018">
        <w:rPr>
          <w:i/>
          <w:iCs/>
        </w:rPr>
        <w:t xml:space="preserve"> </w:t>
      </w:r>
    </w:p>
    <w:p w14:paraId="482123B1" w14:textId="1A5B499F" w:rsidR="008D5762" w:rsidRPr="00CB2023" w:rsidRDefault="008D5762" w:rsidP="5AC99018">
      <w:pPr>
        <w:spacing w:before="120" w:after="100" w:afterAutospacing="1" w:line="240" w:lineRule="auto"/>
      </w:pPr>
      <w:r w:rsidRPr="5AC99018">
        <w:rPr>
          <w:i/>
          <w:iCs/>
        </w:rPr>
        <w:t>Optional Measure</w:t>
      </w:r>
      <w:r>
        <w:t>: Any measure included on the regional priority list that is labeled as “optional” and may be installed in the dwelling unit with any funding source, including DOE WAP funds, if all other applicable mandatory measures are also installed.</w:t>
      </w:r>
    </w:p>
    <w:p w14:paraId="146F78A4" w14:textId="77777777" w:rsidR="00BD6618" w:rsidRDefault="35750B04" w:rsidP="00BD6618">
      <w:r w:rsidRPr="5AC99018">
        <w:rPr>
          <w:i/>
          <w:iCs/>
        </w:rPr>
        <w:t>PTAC:</w:t>
      </w:r>
      <w:r>
        <w:t xml:space="preserve"> Packaged Terminal Air Conditioners are standalone heating/cooling appliances that are used to condition an individual room or small dwelling unit and are installed on an exterior wall with both the condenser and evaporator as well as the air circulation fans all confined in a single unit. These may feature either electric resistance heat or heat pump technology for heating.</w:t>
      </w:r>
    </w:p>
    <w:p w14:paraId="7350AAFC" w14:textId="1373DD7C" w:rsidR="00BD6618" w:rsidRPr="00BD6618" w:rsidRDefault="00BD6618" w:rsidP="00BD6618">
      <w:pPr>
        <w:rPr>
          <w:rFonts w:ascii="Calibri" w:eastAsia="Calibri" w:hAnsi="Calibri" w:cs="Times New Roman"/>
          <w:kern w:val="2"/>
          <w14:ligatures w14:val="standardContextual"/>
        </w:rPr>
      </w:pPr>
      <w:r>
        <w:lastRenderedPageBreak/>
        <w:br/>
      </w:r>
      <w:r w:rsidRPr="00441C83">
        <w:rPr>
          <w:rFonts w:ascii="Calibri" w:eastAsia="Calibri" w:hAnsi="Calibri" w:cs="Times New Roman"/>
          <w:i/>
          <w:iCs/>
          <w:kern w:val="2"/>
          <w14:ligatures w14:val="standardContextual"/>
        </w:rPr>
        <w:t xml:space="preserve">SEER2: </w:t>
      </w:r>
      <w:r w:rsidRPr="00BD6618">
        <w:rPr>
          <w:rFonts w:ascii="Calibri" w:eastAsia="Calibri" w:hAnsi="Calibri" w:cs="Times New Roman"/>
          <w:kern w:val="2"/>
          <w14:ligatures w14:val="standardContextual"/>
        </w:rPr>
        <w:t>Seasonal Energy Efficiency Rating is a rating used for split system air conditioners that factors in the seasonal operating conditions of the unit in the calculation of cooling efficiency. The higher the number the higher the efficiency.</w:t>
      </w:r>
    </w:p>
    <w:p w14:paraId="290A2B17" w14:textId="1D2A8A0C" w:rsidR="00430BF8" w:rsidRDefault="00430BF8" w:rsidP="78C8F966">
      <w:pPr>
        <w:pStyle w:val="Heading1"/>
        <w:spacing w:before="120" w:afterAutospacing="1" w:line="240" w:lineRule="auto"/>
      </w:pPr>
      <w:bookmarkStart w:id="10" w:name="_Toc108442464"/>
      <w:bookmarkStart w:id="11" w:name="_Toc158635143"/>
      <w:r>
        <w:t>General Administration</w:t>
      </w:r>
      <w:bookmarkEnd w:id="10"/>
      <w:bookmarkEnd w:id="11"/>
    </w:p>
    <w:p w14:paraId="0623D7B8" w14:textId="77777777" w:rsidR="006279E1" w:rsidRDefault="008D5762" w:rsidP="5AC99018">
      <w:pPr>
        <w:pStyle w:val="Heading2"/>
        <w:spacing w:before="240"/>
      </w:pPr>
      <w:bookmarkStart w:id="12" w:name="_Toc108442465"/>
      <w:bookmarkStart w:id="13" w:name="_Toc158635144"/>
      <w:r>
        <w:t>Eligibility</w:t>
      </w:r>
      <w:bookmarkEnd w:id="12"/>
      <w:bookmarkEnd w:id="13"/>
    </w:p>
    <w:p w14:paraId="3B4F3F98" w14:textId="6DF08C40" w:rsidR="008D5762" w:rsidRDefault="00652FE0" w:rsidP="5AC99018">
      <w:pPr>
        <w:spacing w:beforeAutospacing="1" w:afterAutospacing="1" w:line="240" w:lineRule="auto"/>
      </w:pPr>
      <w:r>
        <w:t>Eligibility for all LR</w:t>
      </w:r>
      <w:r w:rsidR="7AD47E30">
        <w:t xml:space="preserve"> MF projects must follow the guidance outlined by DOE WAP for multifamily projects which requires 66% of a project’s dwelling units to be income</w:t>
      </w:r>
      <w:r w:rsidR="00FF0562">
        <w:t xml:space="preserve"> qualified. Follow THDA’s</w:t>
      </w:r>
      <w:r w:rsidR="7AD47E30">
        <w:t xml:space="preserve"> current DOE-approved eligibility determination and documentation process for all LRMF projects.</w:t>
      </w:r>
    </w:p>
    <w:p w14:paraId="21769590" w14:textId="05DDCCF0" w:rsidR="008D5762" w:rsidRDefault="005507E2" w:rsidP="78C8F966">
      <w:pPr>
        <w:pStyle w:val="Heading2"/>
        <w:spacing w:before="120" w:afterAutospacing="1" w:line="240" w:lineRule="auto"/>
      </w:pPr>
      <w:bookmarkStart w:id="14" w:name="_Toc108442466"/>
      <w:bookmarkStart w:id="15" w:name="_Toc158635145"/>
      <w:r>
        <w:t>Initial Audit Determination</w:t>
      </w:r>
      <w:bookmarkEnd w:id="14"/>
      <w:bookmarkEnd w:id="15"/>
    </w:p>
    <w:p w14:paraId="5D546EDB" w14:textId="445EC0CE" w:rsidR="008D5762" w:rsidRDefault="006279E1" w:rsidP="008D5762">
      <w:pPr>
        <w:spacing w:before="100" w:beforeAutospacing="1" w:after="100" w:afterAutospacing="1" w:line="240" w:lineRule="auto"/>
      </w:pPr>
      <w:r>
        <w:t xml:space="preserve">For each project, </w:t>
      </w:r>
      <w:commentRangeStart w:id="16"/>
      <w:commentRangeStart w:id="17"/>
      <w:r>
        <w:t xml:space="preserve">the </w:t>
      </w:r>
      <w:r w:rsidR="00B226E8">
        <w:t>sub-</w:t>
      </w:r>
      <w:r>
        <w:t xml:space="preserve">Grantee </w:t>
      </w:r>
      <w:commentRangeEnd w:id="16"/>
      <w:r w:rsidR="005601FE">
        <w:rPr>
          <w:rStyle w:val="CommentReference"/>
        </w:rPr>
        <w:commentReference w:id="16"/>
      </w:r>
      <w:commentRangeEnd w:id="17"/>
      <w:r w:rsidR="00B226E8">
        <w:rPr>
          <w:rStyle w:val="CommentReference"/>
        </w:rPr>
        <w:commentReference w:id="17"/>
      </w:r>
      <w:r>
        <w:t>will determine if the</w:t>
      </w:r>
      <w:r w:rsidR="00B226E8">
        <w:t xml:space="preserve"> Grantee’s</w:t>
      </w:r>
      <w:r w:rsidR="00733362">
        <w:t xml:space="preserve"> approved </w:t>
      </w:r>
      <w:r>
        <w:t xml:space="preserve">PL will be utilized or if </w:t>
      </w:r>
      <w:r w:rsidR="008D5762">
        <w:t>a site-specific energy audit</w:t>
      </w:r>
      <w:r w:rsidR="00733362">
        <w:t xml:space="preserve"> is required</w:t>
      </w:r>
      <w:r w:rsidR="008D5762">
        <w:t xml:space="preserve"> in compliance with DOE guidance and its current written energy audit approval.</w:t>
      </w:r>
      <w:r w:rsidR="00733362">
        <w:t xml:space="preserve"> This determination will be made using </w:t>
      </w:r>
      <w:r w:rsidR="00733362" w:rsidRPr="00F97440">
        <w:rPr>
          <w:i/>
          <w:iCs/>
        </w:rPr>
        <w:t>Form</w:t>
      </w:r>
      <w:r w:rsidR="00F97440" w:rsidRPr="00F97440">
        <w:rPr>
          <w:i/>
          <w:iCs/>
        </w:rPr>
        <w:t xml:space="preserve"> A</w:t>
      </w:r>
      <w:r w:rsidR="00F97440">
        <w:t xml:space="preserve"> (LRMF PL Checklist).</w:t>
      </w:r>
      <w:r w:rsidR="00B72748">
        <w:t xml:space="preserve"> These PLs apply to any wood-framed Low-Rise Multifamily structure with 5 or more dwelling units per building, no more than 3 stories above grade in height. </w:t>
      </w:r>
      <w:r w:rsidR="00F97440">
        <w:t xml:space="preserve"> If the project can use the LRMF PL, then the auditor may proceed with the initial audit as outlined herein.</w:t>
      </w:r>
    </w:p>
    <w:p w14:paraId="0B2DB495" w14:textId="77777777" w:rsidR="00F97440" w:rsidRDefault="00F97440" w:rsidP="5AC99018">
      <w:pPr>
        <w:pStyle w:val="Heading2"/>
        <w:spacing w:before="120"/>
      </w:pPr>
      <w:bookmarkStart w:id="18" w:name="_Toc108442467"/>
      <w:bookmarkStart w:id="19" w:name="_Toc158635146"/>
      <w:r>
        <w:t>Allowable Costs</w:t>
      </w:r>
      <w:bookmarkEnd w:id="18"/>
      <w:bookmarkEnd w:id="19"/>
    </w:p>
    <w:p w14:paraId="7375769E" w14:textId="03F2FEB9" w:rsidR="00EF0457" w:rsidRDefault="00FF0562" w:rsidP="008D5762">
      <w:pPr>
        <w:spacing w:before="100" w:beforeAutospacing="1" w:after="100" w:afterAutospacing="1" w:line="240" w:lineRule="auto"/>
      </w:pPr>
      <w:r>
        <w:t>The auditor must follow THDA</w:t>
      </w:r>
      <w:r w:rsidR="00EF0457">
        <w:t>’</w:t>
      </w:r>
      <w:r w:rsidR="008D5762">
        <w:t>s</w:t>
      </w:r>
      <w:r w:rsidR="00EF0457">
        <w:t xml:space="preserve"> DOE-approved Health and Safety (H&amp;S) plan for these projects just as for all other WAP funded projects. No variation from the approved H&amp;S plan is allowed without prior DOE authorization. </w:t>
      </w:r>
      <w:r w:rsidR="008D5762">
        <w:t>Incidental Repair Measure (IRM) costs funded by DOE WAP shall not exceed 10% of the project’s total Energy Conservation Measure (ECM) package</w:t>
      </w:r>
      <w:r w:rsidR="00EF0457">
        <w:t xml:space="preserve"> including all funding sources.</w:t>
      </w:r>
    </w:p>
    <w:p w14:paraId="7C5477F7" w14:textId="77777777" w:rsidR="00357256" w:rsidRPr="00C54391" w:rsidRDefault="00357256" w:rsidP="00E96F39">
      <w:pPr>
        <w:spacing w:before="100" w:beforeAutospacing="1" w:after="100" w:afterAutospacing="1" w:line="240" w:lineRule="auto"/>
      </w:pPr>
      <w:r w:rsidRPr="00C54391">
        <w:t xml:space="preserve">Average Cost Per Unit </w:t>
      </w:r>
      <w:r>
        <w:t>(</w:t>
      </w:r>
      <w:r w:rsidRPr="00C54391">
        <w:t>ACPU</w:t>
      </w:r>
      <w:r>
        <w:t>)</w:t>
      </w:r>
      <w:r w:rsidRPr="00C54391">
        <w:t xml:space="preserve"> expenditure of financial assistance provided under WAP for labor, weatherization materials, and related matters </w:t>
      </w:r>
      <w:r>
        <w:t>may not</w:t>
      </w:r>
      <w:r w:rsidRPr="00C54391">
        <w:t xml:space="preserve"> exceed the (ACPU) limits as defined in DOE’s annual Weatherization Program Notice (WPN) 2X-1</w:t>
      </w:r>
      <w:r w:rsidR="00E96F39">
        <w:t xml:space="preserve">, Program Year 202x Weatherization Grant Application. </w:t>
      </w:r>
      <w:r w:rsidRPr="00C54391">
        <w:t>This average includes units</w:t>
      </w:r>
      <w:r>
        <w:t xml:space="preserve"> completed</w:t>
      </w:r>
      <w:r w:rsidRPr="00C54391">
        <w:t xml:space="preserve"> in a multifamily building of 5 units or greater. Individual measure cost caps, if applicable, are detailed in the applicable </w:t>
      </w:r>
      <w:r>
        <w:t>Priority List</w:t>
      </w:r>
      <w:r w:rsidRPr="00C54391">
        <w:t>.</w:t>
      </w:r>
    </w:p>
    <w:p w14:paraId="4F8B4693" w14:textId="77777777" w:rsidR="00357256" w:rsidRDefault="00357256" w:rsidP="5AC99018">
      <w:pPr>
        <w:pStyle w:val="Heading2"/>
        <w:spacing w:before="120"/>
      </w:pPr>
      <w:bookmarkStart w:id="20" w:name="_Toc108442468"/>
      <w:bookmarkStart w:id="21" w:name="_Toc158635147"/>
      <w:r>
        <w:t>Leveraged Funding</w:t>
      </w:r>
      <w:bookmarkEnd w:id="20"/>
      <w:bookmarkEnd w:id="21"/>
    </w:p>
    <w:p w14:paraId="2D1F5B62" w14:textId="75F09A2C" w:rsidR="00357256" w:rsidRDefault="00B226E8" w:rsidP="5AC99018">
      <w:pPr>
        <w:spacing w:before="100" w:beforeAutospacing="1" w:after="100" w:afterAutospacing="1" w:line="240" w:lineRule="auto"/>
      </w:pPr>
      <w:bookmarkStart w:id="22" w:name="_Hlk90288323"/>
      <w:r>
        <w:t>Sub-</w:t>
      </w:r>
      <w:commentRangeStart w:id="23"/>
      <w:commentRangeStart w:id="24"/>
      <w:r w:rsidR="00357256">
        <w:t>Grantees</w:t>
      </w:r>
      <w:commentRangeEnd w:id="23"/>
      <w:r w:rsidR="00673875">
        <w:rPr>
          <w:rStyle w:val="CommentReference"/>
        </w:rPr>
        <w:commentReference w:id="23"/>
      </w:r>
      <w:commentRangeEnd w:id="24"/>
      <w:r>
        <w:rPr>
          <w:rStyle w:val="CommentReference"/>
        </w:rPr>
        <w:commentReference w:id="24"/>
      </w:r>
      <w:r w:rsidR="00357256">
        <w:t xml:space="preserve"> who utilize alternative funding sources (non-DOE WAP) may use those funds for any measure on the PL, including splitting of costs between funding sources</w:t>
      </w:r>
      <w:r w:rsidR="00414A0C">
        <w:t xml:space="preserve"> (co</w:t>
      </w:r>
      <w:r>
        <w:t>-</w:t>
      </w:r>
      <w:r w:rsidR="00414A0C" w:rsidRPr="00B226E8">
        <w:rPr>
          <w:rFonts w:cstheme="minorHAnsi"/>
        </w:rPr>
        <w:t xml:space="preserve">funding) as permitted by the </w:t>
      </w:r>
      <w:r w:rsidR="00357256" w:rsidRPr="00B226E8">
        <w:rPr>
          <w:rFonts w:cstheme="minorHAnsi"/>
        </w:rPr>
        <w:t xml:space="preserve">alternative funding </w:t>
      </w:r>
      <w:r w:rsidR="2DFB906A" w:rsidRPr="00B226E8">
        <w:rPr>
          <w:rFonts w:cstheme="minorHAnsi"/>
        </w:rPr>
        <w:t>source, if</w:t>
      </w:r>
      <w:r w:rsidR="00414A0C" w:rsidRPr="00B226E8">
        <w:rPr>
          <w:rFonts w:cstheme="minorHAnsi"/>
        </w:rPr>
        <w:t xml:space="preserve"> t</w:t>
      </w:r>
      <w:r w:rsidR="00357256" w:rsidRPr="00B226E8">
        <w:rPr>
          <w:rFonts w:cstheme="minorHAnsi"/>
        </w:rPr>
        <w:t xml:space="preserve">he project documentation clearly records which measures DOE WAP paid for and their associated cost. No DOE funds may be utilized on the project unless all applicable mandatory measures </w:t>
      </w:r>
      <w:r w:rsidR="00E25AA0" w:rsidRPr="00B226E8">
        <w:rPr>
          <w:rFonts w:cstheme="minorHAnsi"/>
        </w:rPr>
        <w:t>are</w:t>
      </w:r>
      <w:r w:rsidR="00357256" w:rsidRPr="00B226E8">
        <w:rPr>
          <w:rFonts w:cstheme="minorHAnsi"/>
        </w:rPr>
        <w:t xml:space="preserve"> installed</w:t>
      </w:r>
      <w:commentRangeStart w:id="25"/>
      <w:commentRangeStart w:id="26"/>
      <w:r w:rsidR="00357256" w:rsidRPr="00B226E8">
        <w:rPr>
          <w:rFonts w:cstheme="minorHAnsi"/>
        </w:rPr>
        <w:t xml:space="preserve">. </w:t>
      </w:r>
      <w:commentRangeEnd w:id="25"/>
      <w:r w:rsidR="00673875" w:rsidRPr="00B226E8">
        <w:rPr>
          <w:rStyle w:val="CommentReference"/>
          <w:rFonts w:cstheme="minorHAnsi"/>
          <w:sz w:val="22"/>
          <w:szCs w:val="22"/>
        </w:rPr>
        <w:commentReference w:id="25"/>
      </w:r>
      <w:commentRangeEnd w:id="26"/>
      <w:r>
        <w:rPr>
          <w:rStyle w:val="CommentReference"/>
        </w:rPr>
        <w:commentReference w:id="26"/>
      </w:r>
      <w:r w:rsidRPr="00B226E8">
        <w:rPr>
          <w:rStyle w:val="cf01"/>
          <w:rFonts w:asciiTheme="minorHAnsi" w:hAnsiTheme="minorHAnsi" w:cstheme="minorHAnsi"/>
          <w:sz w:val="22"/>
          <w:szCs w:val="22"/>
        </w:rPr>
        <w:t xml:space="preserve">If another funding source is used for a mandatory measure, it must meet the requirements of the DOE WAP as outlined in the PL. </w:t>
      </w:r>
      <w:r w:rsidR="00357256" w:rsidRPr="00B226E8">
        <w:rPr>
          <w:rFonts w:cstheme="minorHAnsi"/>
        </w:rPr>
        <w:t>Additional measures not included in the PL may be installed with non-DOE WAP funds as allowable by the funding source</w:t>
      </w:r>
      <w:r w:rsidR="00357256">
        <w:t xml:space="preserve"> without need for additional DOE approval.</w:t>
      </w:r>
    </w:p>
    <w:p w14:paraId="27017A3F" w14:textId="77777777" w:rsidR="00430BF8" w:rsidRDefault="005A53CB" w:rsidP="008D5762">
      <w:pPr>
        <w:spacing w:before="100" w:beforeAutospacing="1" w:after="100" w:afterAutospacing="1" w:line="240" w:lineRule="auto"/>
      </w:pPr>
      <w:r>
        <w:t xml:space="preserve">For each project, the file must contain documentation of the final invoiced costs, including a specific breakdown of costs paid by each funding source (i.e., DOE WAP, LIHEAP, Utility, etc.) and category (i.e., Program Operations, Health &amp; Safety, Incidental Repairs, etc.). </w:t>
      </w:r>
      <w:bookmarkEnd w:id="22"/>
    </w:p>
    <w:p w14:paraId="7EBB8CD6" w14:textId="77777777" w:rsidR="00EF0457" w:rsidRDefault="00EF0457" w:rsidP="5AC99018">
      <w:pPr>
        <w:pStyle w:val="Heading2"/>
        <w:spacing w:before="120"/>
      </w:pPr>
      <w:bookmarkStart w:id="27" w:name="_Toc108442469"/>
      <w:bookmarkStart w:id="28" w:name="_Toc158635148"/>
      <w:r>
        <w:lastRenderedPageBreak/>
        <w:t>Measure Skipping</w:t>
      </w:r>
      <w:bookmarkEnd w:id="27"/>
      <w:bookmarkEnd w:id="28"/>
    </w:p>
    <w:p w14:paraId="7C16F8A8" w14:textId="731FC732" w:rsidR="008D5762" w:rsidRDefault="008D5762" w:rsidP="5AC99018">
      <w:pPr>
        <w:spacing w:before="100" w:beforeAutospacing="1" w:after="100" w:afterAutospacing="1" w:line="240" w:lineRule="auto"/>
      </w:pPr>
      <w:commentRangeStart w:id="29"/>
      <w:commentRangeStart w:id="30"/>
      <w:commentRangeStart w:id="31"/>
      <w:commentRangeStart w:id="32"/>
      <w:commentRangeStart w:id="33"/>
      <w:r>
        <w:t>A measure</w:t>
      </w:r>
      <w:r w:rsidR="00EF0457">
        <w:t xml:space="preserve"> contained on the DOE-approved PL</w:t>
      </w:r>
      <w:r>
        <w:t xml:space="preserve"> may only be skipped if it is not applicable</w:t>
      </w:r>
      <w:r w:rsidR="00EF0457">
        <w:t xml:space="preserve"> to the specific project</w:t>
      </w:r>
      <w:r w:rsidR="00357256">
        <w:t xml:space="preserve"> (e.g., ducts do not exist outside the thermal boundary so duct sealing may be skipped</w:t>
      </w:r>
      <w:r w:rsidR="0014097D">
        <w:t xml:space="preserve"> or there is no attic or the wall is brick with no opportunity to </w:t>
      </w:r>
      <w:r w:rsidR="00080E97">
        <w:t>provide attic or wall insulation</w:t>
      </w:r>
      <w:r w:rsidR="00357256">
        <w:t>)</w:t>
      </w:r>
      <w:r>
        <w:t xml:space="preserve"> or is </w:t>
      </w:r>
      <w:r w:rsidR="00080E97">
        <w:t>expensive</w:t>
      </w:r>
      <w:r>
        <w:t xml:space="preserve"> to install</w:t>
      </w:r>
      <w:r w:rsidR="00357256">
        <w:t xml:space="preserve"> (e.g., </w:t>
      </w:r>
      <w:r w:rsidR="00080E97">
        <w:t xml:space="preserve">the attic insulation will require remediation of the asbestos in the ceiling, or essentially replacement of the ceiling via </w:t>
      </w:r>
      <w:proofErr w:type="spellStart"/>
      <w:r w:rsidR="00080E97">
        <w:t>a</w:t>
      </w:r>
      <w:proofErr w:type="spellEnd"/>
      <w:r w:rsidR="00080E97">
        <w:t xml:space="preserve"> asbestos remediation effort that would also require tenant relocation, and then provide attic insulation – this measure</w:t>
      </w:r>
      <w:r w:rsidR="00357256">
        <w:t xml:space="preserve"> </w:t>
      </w:r>
      <w:r w:rsidR="00080E97">
        <w:t xml:space="preserve">would require a lot of effort and would cost a lot and make the SIR well over two (2) and thus </w:t>
      </w:r>
      <w:r w:rsidR="00357256">
        <w:t xml:space="preserve">may be skipped). </w:t>
      </w:r>
      <w:r w:rsidR="006379B7">
        <w:t>I</w:t>
      </w:r>
      <w:r w:rsidR="006379B7" w:rsidRPr="006379B7">
        <w:t>f access can be obtained by work classified as a DOE minor repair</w:t>
      </w:r>
      <w:r w:rsidR="006379B7">
        <w:t>,</w:t>
      </w:r>
      <w:r w:rsidR="006379B7" w:rsidRPr="006379B7">
        <w:t xml:space="preserve"> work would be completed. </w:t>
      </w:r>
      <w:proofErr w:type="gramStart"/>
      <w:r w:rsidR="006379B7" w:rsidRPr="006379B7">
        <w:t>However</w:t>
      </w:r>
      <w:proofErr w:type="gramEnd"/>
      <w:r w:rsidR="006379B7" w:rsidRPr="006379B7">
        <w:t xml:space="preserve"> if accessing the area exceeded cost cap of minor repair the measure would be skipped. </w:t>
      </w:r>
      <w:r w:rsidR="00357256">
        <w:t>This applies</w:t>
      </w:r>
      <w:r>
        <w:t xml:space="preserve"> regardless of </w:t>
      </w:r>
      <w:r w:rsidR="73953987">
        <w:t>the funding</w:t>
      </w:r>
      <w:r>
        <w:t xml:space="preserve"> source used</w:t>
      </w:r>
      <w:r w:rsidR="00357256">
        <w:t xml:space="preserve"> for any single measure. </w:t>
      </w:r>
      <w:r>
        <w:t xml:space="preserve"> </w:t>
      </w:r>
      <w:commentRangeEnd w:id="29"/>
      <w:r w:rsidR="00673875">
        <w:rPr>
          <w:rStyle w:val="CommentReference"/>
        </w:rPr>
        <w:commentReference w:id="29"/>
      </w:r>
      <w:commentRangeEnd w:id="30"/>
      <w:r w:rsidR="00080E97">
        <w:rPr>
          <w:rStyle w:val="CommentReference"/>
        </w:rPr>
        <w:commentReference w:id="30"/>
      </w:r>
      <w:commentRangeEnd w:id="31"/>
      <w:r w:rsidR="001C7A67">
        <w:rPr>
          <w:rStyle w:val="CommentReference"/>
        </w:rPr>
        <w:commentReference w:id="31"/>
      </w:r>
      <w:commentRangeEnd w:id="32"/>
      <w:r w:rsidR="00FC2B1F">
        <w:rPr>
          <w:rStyle w:val="CommentReference"/>
        </w:rPr>
        <w:commentReference w:id="32"/>
      </w:r>
      <w:commentRangeEnd w:id="33"/>
      <w:r w:rsidR="00EA7649">
        <w:rPr>
          <w:rStyle w:val="CommentReference"/>
        </w:rPr>
        <w:commentReference w:id="33"/>
      </w:r>
    </w:p>
    <w:p w14:paraId="184E3C3F" w14:textId="77777777" w:rsidR="00357256" w:rsidRDefault="00357256" w:rsidP="5AC99018">
      <w:pPr>
        <w:pStyle w:val="Heading2"/>
        <w:spacing w:before="120"/>
      </w:pPr>
      <w:bookmarkStart w:id="34" w:name="_Toc108442470"/>
      <w:bookmarkStart w:id="35" w:name="_Toc158635149"/>
      <w:r>
        <w:t>Common Areas</w:t>
      </w:r>
      <w:bookmarkEnd w:id="34"/>
      <w:bookmarkEnd w:id="35"/>
    </w:p>
    <w:p w14:paraId="0C69F011" w14:textId="77777777" w:rsidR="005507E2" w:rsidRPr="00B74C99" w:rsidRDefault="008D5762" w:rsidP="008D5762">
      <w:pPr>
        <w:spacing w:before="100" w:beforeAutospacing="1" w:after="100" w:afterAutospacing="1" w:line="240" w:lineRule="auto"/>
      </w:pPr>
      <w:r w:rsidRPr="00B74C99">
        <w:t>Only items labeled as “Mandatory”</w:t>
      </w:r>
      <w:r w:rsidR="00357256">
        <w:t xml:space="preserve"> in the PL</w:t>
      </w:r>
      <w:r w:rsidRPr="00B74C99">
        <w:t xml:space="preserve"> may be installed in common </w:t>
      </w:r>
      <w:r w:rsidR="00357256">
        <w:t>areas</w:t>
      </w:r>
      <w:r w:rsidRPr="00B74C99">
        <w:t xml:space="preserve"> </w:t>
      </w:r>
      <w:r w:rsidR="005507E2">
        <w:t xml:space="preserve">physically connected to the weatherized dwelling structure </w:t>
      </w:r>
      <w:r w:rsidRPr="00B74C99">
        <w:t xml:space="preserve">regardless of who pays the utility costs for these spaces. Common areas not </w:t>
      </w:r>
      <w:r>
        <w:t xml:space="preserve">physically </w:t>
      </w:r>
      <w:r w:rsidRPr="00B74C99">
        <w:t>connected to the qualified building, even if existing only for the use of the tenants of the qualified building, may not receive services paid</w:t>
      </w:r>
      <w:r>
        <w:t xml:space="preserve"> for</w:t>
      </w:r>
      <w:r w:rsidRPr="00B74C99">
        <w:t xml:space="preserve"> with WAP </w:t>
      </w:r>
      <w:r w:rsidR="005507E2">
        <w:t>funding,</w:t>
      </w:r>
      <w:r w:rsidR="005D1C82">
        <w:t xml:space="preserve"> </w:t>
      </w:r>
      <w:r w:rsidR="0051128E">
        <w:t>(</w:t>
      </w:r>
      <w:r w:rsidR="004F0D2F">
        <w:t>e.g.,</w:t>
      </w:r>
      <w:r w:rsidR="005507E2">
        <w:t xml:space="preserve"> exterior lighting not physically attached to the qualified building</w:t>
      </w:r>
      <w:r w:rsidR="0051128E">
        <w:t>)</w:t>
      </w:r>
      <w:r w:rsidRPr="00B74C99">
        <w:t xml:space="preserve">. </w:t>
      </w:r>
      <w:r w:rsidR="00E25AA0">
        <w:t xml:space="preserve">Items labeled as </w:t>
      </w:r>
      <w:r w:rsidRPr="00B74C99">
        <w:t>“Optional” measures</w:t>
      </w:r>
      <w:r w:rsidR="00E25AA0">
        <w:t xml:space="preserve"> in the PL</w:t>
      </w:r>
      <w:r w:rsidRPr="00B74C99">
        <w:t xml:space="preserve"> may only be installed </w:t>
      </w:r>
      <w:r>
        <w:t xml:space="preserve">using DOE WAP funds </w:t>
      </w:r>
      <w:r w:rsidRPr="00B74C99">
        <w:t xml:space="preserve">in dwelling units, not in common </w:t>
      </w:r>
      <w:r w:rsidR="00E25AA0">
        <w:t>areas</w:t>
      </w:r>
      <w:r w:rsidRPr="00B74C99">
        <w:t>, and may only be installed if all other applicable mandatory measures are installed as well.</w:t>
      </w:r>
      <w:r w:rsidR="005507E2">
        <w:t xml:space="preserve"> </w:t>
      </w:r>
    </w:p>
    <w:p w14:paraId="572B71F9" w14:textId="77777777" w:rsidR="00430BF8" w:rsidRDefault="00430BF8">
      <w:pPr>
        <w:rPr>
          <w:rFonts w:asciiTheme="majorHAnsi" w:eastAsiaTheme="majorEastAsia" w:hAnsiTheme="majorHAnsi" w:cstheme="majorBidi"/>
          <w:color w:val="365F91" w:themeColor="accent1" w:themeShade="BF"/>
          <w:sz w:val="32"/>
          <w:szCs w:val="32"/>
        </w:rPr>
      </w:pPr>
      <w:r>
        <w:br w:type="page"/>
      </w:r>
    </w:p>
    <w:p w14:paraId="437D549B" w14:textId="0DBB6273" w:rsidR="008D5762" w:rsidRDefault="005507E2" w:rsidP="5AC99018">
      <w:pPr>
        <w:pStyle w:val="Heading1"/>
        <w:jc w:val="center"/>
      </w:pPr>
      <w:bookmarkStart w:id="36" w:name="_Toc108442471"/>
      <w:bookmarkStart w:id="37" w:name="_Toc158635150"/>
      <w:r>
        <w:lastRenderedPageBreak/>
        <w:t>Initial Audit Procedures</w:t>
      </w:r>
      <w:bookmarkEnd w:id="36"/>
      <w:bookmarkEnd w:id="37"/>
    </w:p>
    <w:p w14:paraId="3A239826" w14:textId="77777777" w:rsidR="00343B5D" w:rsidRDefault="000340CB" w:rsidP="00231607">
      <w:pPr>
        <w:pStyle w:val="Heading2"/>
      </w:pPr>
      <w:bookmarkStart w:id="38" w:name="_Hlk75160533"/>
      <w:bookmarkStart w:id="39" w:name="_Toc108442472"/>
      <w:bookmarkStart w:id="40" w:name="_Toc158635151"/>
      <w:r w:rsidRPr="78C8F966">
        <w:rPr>
          <w:rStyle w:val="Heading1Char"/>
          <w:sz w:val="26"/>
          <w:szCs w:val="26"/>
        </w:rPr>
        <w:t xml:space="preserve">Project &amp; </w:t>
      </w:r>
      <w:r w:rsidR="00231607" w:rsidRPr="78C8F966">
        <w:rPr>
          <w:rStyle w:val="Heading1Char"/>
          <w:sz w:val="26"/>
          <w:szCs w:val="26"/>
        </w:rPr>
        <w:t>Building Diagram</w:t>
      </w:r>
      <w:bookmarkEnd w:id="38"/>
      <w:r w:rsidR="00231607" w:rsidRPr="78C8F966">
        <w:rPr>
          <w:rStyle w:val="Heading1Char"/>
          <w:sz w:val="26"/>
          <w:szCs w:val="26"/>
        </w:rPr>
        <w:t>s</w:t>
      </w:r>
      <w:bookmarkEnd w:id="39"/>
      <w:bookmarkEnd w:id="40"/>
      <w:r w:rsidR="003B6451">
        <w:t xml:space="preserve"> </w:t>
      </w:r>
    </w:p>
    <w:p w14:paraId="0290BB7B" w14:textId="77777777" w:rsidR="00231607" w:rsidRDefault="00231607" w:rsidP="002B0D50">
      <w:bookmarkStart w:id="41" w:name="_Hlk86233472"/>
      <w:r>
        <w:t>Each project that includes more than one building</w:t>
      </w:r>
      <w:r w:rsidR="00F623C7">
        <w:t xml:space="preserve"> must have a </w:t>
      </w:r>
      <w:r>
        <w:t>diagram or a satellite photo</w:t>
      </w:r>
      <w:r w:rsidR="00F623C7">
        <w:t xml:space="preserve"> (e.g., Google Maps, Bing, etc.)</w:t>
      </w:r>
      <w:r>
        <w:t xml:space="preserve"> to show all buildings on the property with a unique code for each. Clarify</w:t>
      </w:r>
      <w:r w:rsidR="00F623C7">
        <w:t xml:space="preserve"> in this documentation</w:t>
      </w:r>
      <w:r>
        <w:t xml:space="preserve"> which buildings are identical to each other, if any</w:t>
      </w:r>
      <w:r w:rsidR="00F623C7">
        <w:t>.</w:t>
      </w:r>
    </w:p>
    <w:p w14:paraId="057510B7" w14:textId="77777777" w:rsidR="00483228" w:rsidRDefault="00231607" w:rsidP="002B0D50">
      <w:r>
        <w:t xml:space="preserve">Each </w:t>
      </w:r>
      <w:r w:rsidR="00871488">
        <w:t>unique building type</w:t>
      </w:r>
      <w:r>
        <w:t xml:space="preserve"> in the project must have an overhead building diagram (footprint) included in the data collection. </w:t>
      </w:r>
      <w:bookmarkEnd w:id="41"/>
      <w:r w:rsidR="00483228">
        <w:t>If there are multiple buildings on the property, this process must be followed for each building</w:t>
      </w:r>
      <w:r w:rsidR="00A208E3">
        <w:t xml:space="preserve"> or each set of identical buildings. </w:t>
      </w:r>
      <w:bookmarkStart w:id="42" w:name="_Hlk86233489"/>
      <w:r w:rsidR="00A208E3">
        <w:t>Only orientation can be different if buildings are to be deemed identical</w:t>
      </w:r>
      <w:bookmarkEnd w:id="42"/>
    </w:p>
    <w:p w14:paraId="770EE457" w14:textId="5821F7DC" w:rsidR="00EF25CF" w:rsidRPr="00080E97" w:rsidRDefault="003B6451" w:rsidP="002B0D50">
      <w:pPr>
        <w:rPr>
          <w:rFonts w:cstheme="minorHAnsi"/>
        </w:rPr>
      </w:pPr>
      <w:commentRangeStart w:id="43"/>
      <w:commentRangeStart w:id="44"/>
      <w:r>
        <w:t>Each</w:t>
      </w:r>
      <w:r w:rsidR="00EF25CF">
        <w:t xml:space="preserve"> footprint shall include</w:t>
      </w:r>
      <w:r w:rsidR="00080E97">
        <w:t xml:space="preserve"> the </w:t>
      </w:r>
      <w:r w:rsidR="00080E97" w:rsidRPr="00080E97">
        <w:rPr>
          <w:rFonts w:cstheme="minorHAnsi"/>
        </w:rPr>
        <w:t xml:space="preserve">relevant and required DOE details </w:t>
      </w:r>
      <w:r w:rsidR="00080E97" w:rsidRPr="00080E97">
        <w:rPr>
          <w:rStyle w:val="cf01"/>
          <w:rFonts w:asciiTheme="minorHAnsi" w:hAnsiTheme="minorHAnsi" w:cstheme="minorHAnsi"/>
          <w:sz w:val="22"/>
          <w:szCs w:val="22"/>
        </w:rPr>
        <w:t>collected in Forms A and H.</w:t>
      </w:r>
      <w:commentRangeEnd w:id="43"/>
      <w:r w:rsidR="0061748C" w:rsidRPr="00080E97">
        <w:rPr>
          <w:rStyle w:val="CommentReference"/>
          <w:rFonts w:cstheme="minorHAnsi"/>
          <w:sz w:val="22"/>
          <w:szCs w:val="22"/>
        </w:rPr>
        <w:commentReference w:id="43"/>
      </w:r>
      <w:commentRangeEnd w:id="44"/>
      <w:r w:rsidR="00080E97">
        <w:rPr>
          <w:rStyle w:val="CommentReference"/>
        </w:rPr>
        <w:commentReference w:id="44"/>
      </w:r>
    </w:p>
    <w:p w14:paraId="5F5EC88B" w14:textId="77777777" w:rsidR="00ED7F0F" w:rsidRPr="00343B5D" w:rsidRDefault="0082406F" w:rsidP="00443889">
      <w:pPr>
        <w:pStyle w:val="Heading2"/>
      </w:pPr>
      <w:bookmarkStart w:id="45" w:name="_Inspection_Strategy"/>
      <w:bookmarkStart w:id="46" w:name="_Toc108442473"/>
      <w:bookmarkStart w:id="47" w:name="_Toc158635152"/>
      <w:bookmarkEnd w:id="45"/>
      <w:r>
        <w:t xml:space="preserve">Initial </w:t>
      </w:r>
      <w:r w:rsidR="00ED7F0F">
        <w:t>Inspections</w:t>
      </w:r>
      <w:bookmarkEnd w:id="46"/>
      <w:bookmarkEnd w:id="47"/>
    </w:p>
    <w:p w14:paraId="524064DF" w14:textId="77777777" w:rsidR="00443889" w:rsidRDefault="00443889" w:rsidP="00443889">
      <w:pPr>
        <w:pStyle w:val="ListParagraph"/>
        <w:numPr>
          <w:ilvl w:val="0"/>
          <w:numId w:val="4"/>
        </w:numPr>
      </w:pPr>
      <w:r>
        <w:t xml:space="preserve">Every representative building in the project must have a full shell inspection using </w:t>
      </w:r>
      <w:r w:rsidRPr="00F97440">
        <w:rPr>
          <w:i/>
          <w:iCs/>
        </w:rPr>
        <w:t>Form A</w:t>
      </w:r>
      <w:r>
        <w:t xml:space="preserve"> </w:t>
      </w:r>
      <w:r w:rsidRPr="0082406F">
        <w:rPr>
          <w:i/>
          <w:iCs/>
        </w:rPr>
        <w:t>(LRMF PL Checklist)</w:t>
      </w:r>
      <w:r>
        <w:t>.</w:t>
      </w:r>
    </w:p>
    <w:p w14:paraId="0B6A99D4" w14:textId="77777777" w:rsidR="00443889" w:rsidRDefault="00443889" w:rsidP="00443889">
      <w:pPr>
        <w:pStyle w:val="ListParagraph"/>
        <w:numPr>
          <w:ilvl w:val="1"/>
          <w:numId w:val="4"/>
        </w:numPr>
      </w:pPr>
      <w:r>
        <w:t xml:space="preserve">If there are multiple building that are identical in general age and construction, then a minimum of </w:t>
      </w:r>
      <w:r w:rsidRPr="00430BF8">
        <w:t>50%</w:t>
      </w:r>
      <w:r>
        <w:t xml:space="preserve"> of buildings must receive a full shell inspection</w:t>
      </w:r>
    </w:p>
    <w:p w14:paraId="139C1330" w14:textId="77777777" w:rsidR="00ED7F0F" w:rsidRDefault="00ED7F0F" w:rsidP="00ED7F0F">
      <w:pPr>
        <w:pStyle w:val="ListParagraph"/>
        <w:numPr>
          <w:ilvl w:val="0"/>
          <w:numId w:val="4"/>
        </w:numPr>
      </w:pPr>
      <w:r>
        <w:t xml:space="preserve">Every dwelling unit included in the project must receive </w:t>
      </w:r>
      <w:r w:rsidR="0082406F">
        <w:t>a</w:t>
      </w:r>
      <w:r>
        <w:t xml:space="preserve"> visual health and safety inspection using </w:t>
      </w:r>
      <w:r w:rsidR="0082406F" w:rsidRPr="0082406F">
        <w:rPr>
          <w:i/>
          <w:iCs/>
        </w:rPr>
        <w:t>Form H</w:t>
      </w:r>
      <w:r w:rsidR="0082406F">
        <w:rPr>
          <w:i/>
          <w:iCs/>
        </w:rPr>
        <w:t xml:space="preserve"> (</w:t>
      </w:r>
      <w:r w:rsidR="0082406F" w:rsidRPr="0082406F">
        <w:rPr>
          <w:i/>
          <w:iCs/>
        </w:rPr>
        <w:t xml:space="preserve">LRMF </w:t>
      </w:r>
      <w:r w:rsidR="005B7CDC">
        <w:rPr>
          <w:i/>
          <w:iCs/>
        </w:rPr>
        <w:t xml:space="preserve">Dwelling Unit </w:t>
      </w:r>
      <w:r w:rsidR="0082406F" w:rsidRPr="0082406F">
        <w:rPr>
          <w:i/>
          <w:iCs/>
        </w:rPr>
        <w:t>H&amp;S Checklist</w:t>
      </w:r>
      <w:r w:rsidR="0082406F">
        <w:rPr>
          <w:i/>
          <w:iCs/>
        </w:rPr>
        <w:t>)</w:t>
      </w:r>
      <w:r>
        <w:t>.</w:t>
      </w:r>
    </w:p>
    <w:p w14:paraId="6598E29D" w14:textId="77777777" w:rsidR="00ED7F0F" w:rsidRDefault="00430BF8" w:rsidP="00ED7F0F">
      <w:pPr>
        <w:pStyle w:val="ListParagraph"/>
        <w:numPr>
          <w:ilvl w:val="0"/>
          <w:numId w:val="4"/>
        </w:numPr>
      </w:pPr>
      <w:r>
        <w:t xml:space="preserve">A minimum of 50% of each </w:t>
      </w:r>
      <w:r w:rsidR="00ED7F0F">
        <w:t>combustion appliance</w:t>
      </w:r>
      <w:r>
        <w:t xml:space="preserve"> type </w:t>
      </w:r>
      <w:r w:rsidR="00ED7F0F">
        <w:t xml:space="preserve">included within the project must be tested and documented using </w:t>
      </w:r>
      <w:bookmarkStart w:id="48" w:name="_Hlk157436561"/>
      <w:r w:rsidR="0082406F" w:rsidRPr="0082406F">
        <w:rPr>
          <w:i/>
          <w:iCs/>
        </w:rPr>
        <w:t>F</w:t>
      </w:r>
      <w:r w:rsidR="00ED7F0F" w:rsidRPr="0082406F">
        <w:rPr>
          <w:i/>
          <w:iCs/>
        </w:rPr>
        <w:t xml:space="preserve">orm </w:t>
      </w:r>
      <w:r w:rsidR="0082406F" w:rsidRPr="0082406F">
        <w:rPr>
          <w:i/>
          <w:iCs/>
        </w:rPr>
        <w:t>C</w:t>
      </w:r>
      <w:r w:rsidR="0082406F">
        <w:rPr>
          <w:i/>
          <w:iCs/>
        </w:rPr>
        <w:t xml:space="preserve"> (</w:t>
      </w:r>
      <w:r w:rsidR="0082406F" w:rsidRPr="0082406F">
        <w:rPr>
          <w:i/>
          <w:iCs/>
        </w:rPr>
        <w:t xml:space="preserve">LRMF </w:t>
      </w:r>
      <w:r w:rsidR="00134850" w:rsidRPr="00134850">
        <w:rPr>
          <w:i/>
          <w:iCs/>
        </w:rPr>
        <w:t>Combustion Safety</w:t>
      </w:r>
      <w:r w:rsidR="0082406F" w:rsidRPr="0082406F">
        <w:rPr>
          <w:i/>
          <w:iCs/>
        </w:rPr>
        <w:t xml:space="preserve"> Che</w:t>
      </w:r>
      <w:r w:rsidR="0082406F">
        <w:rPr>
          <w:i/>
          <w:iCs/>
        </w:rPr>
        <w:t>c</w:t>
      </w:r>
      <w:r w:rsidR="0082406F" w:rsidRPr="0082406F">
        <w:rPr>
          <w:i/>
          <w:iCs/>
        </w:rPr>
        <w:t>klist</w:t>
      </w:r>
      <w:r w:rsidR="0082406F">
        <w:rPr>
          <w:i/>
          <w:iCs/>
        </w:rPr>
        <w:t>)</w:t>
      </w:r>
      <w:bookmarkEnd w:id="48"/>
      <w:r w:rsidR="00ED7F0F">
        <w:t>.</w:t>
      </w:r>
      <w:r w:rsidR="005D03EF">
        <w:t xml:space="preserve"> If different units have different sized combustion units and/or combustion units of different ages</w:t>
      </w:r>
      <w:r w:rsidR="004D46B9">
        <w:t>,</w:t>
      </w:r>
      <w:r w:rsidR="005D03EF">
        <w:t xml:space="preserve"> then all non-typical units must also be tested and documented. </w:t>
      </w:r>
    </w:p>
    <w:p w14:paraId="353A9A7F" w14:textId="77777777" w:rsidR="00AA04B3" w:rsidRDefault="00AA04B3" w:rsidP="00AA04B3">
      <w:pPr>
        <w:pStyle w:val="ListParagraph"/>
      </w:pPr>
    </w:p>
    <w:p w14:paraId="2445BE79" w14:textId="77777777" w:rsidR="00C626F0" w:rsidRPr="00343B5D" w:rsidRDefault="000A3D82" w:rsidP="00443889">
      <w:pPr>
        <w:pStyle w:val="Heading3"/>
      </w:pPr>
      <w:bookmarkStart w:id="49" w:name="_Toc108442474"/>
      <w:bookmarkStart w:id="50" w:name="_Toc158635153"/>
      <w:r>
        <w:t xml:space="preserve">Building </w:t>
      </w:r>
      <w:r w:rsidR="00343B5D">
        <w:t xml:space="preserve">Shell </w:t>
      </w:r>
      <w:r w:rsidR="00C626F0">
        <w:t>Inspection</w:t>
      </w:r>
      <w:bookmarkEnd w:id="49"/>
      <w:bookmarkEnd w:id="50"/>
    </w:p>
    <w:p w14:paraId="22A8F49C" w14:textId="687BF09D" w:rsidR="00443889" w:rsidRDefault="00443889" w:rsidP="002B0D50">
      <w:pPr>
        <w:pStyle w:val="ListParagraph"/>
        <w:numPr>
          <w:ilvl w:val="0"/>
          <w:numId w:val="5"/>
        </w:numPr>
      </w:pPr>
      <w:r>
        <w:t xml:space="preserve">Utilize </w:t>
      </w:r>
      <w:r w:rsidR="00907BA9">
        <w:t xml:space="preserve">the appropriate </w:t>
      </w:r>
      <w:r w:rsidRPr="00F97440">
        <w:rPr>
          <w:i/>
          <w:iCs/>
        </w:rPr>
        <w:t>Form A</w:t>
      </w:r>
      <w:r>
        <w:t xml:space="preserve"> </w:t>
      </w:r>
      <w:r w:rsidRPr="0082406F">
        <w:rPr>
          <w:i/>
          <w:iCs/>
        </w:rPr>
        <w:t>(LRMF PL Checklist)</w:t>
      </w:r>
      <w:r w:rsidR="00907BA9">
        <w:rPr>
          <w:i/>
          <w:iCs/>
        </w:rPr>
        <w:t xml:space="preserve">, </w:t>
      </w:r>
      <w:r w:rsidR="00466D64" w:rsidRPr="00466D64">
        <w:t>for region 2</w:t>
      </w:r>
      <w:r>
        <w:t>.</w:t>
      </w:r>
    </w:p>
    <w:p w14:paraId="46BCD78B" w14:textId="77777777" w:rsidR="00354C7D" w:rsidRDefault="00354C7D" w:rsidP="002B0D50">
      <w:pPr>
        <w:pStyle w:val="ListParagraph"/>
        <w:numPr>
          <w:ilvl w:val="0"/>
          <w:numId w:val="5"/>
        </w:numPr>
      </w:pPr>
      <w:r>
        <w:t>One complete</w:t>
      </w:r>
      <w:r w:rsidR="001162F7">
        <w:t xml:space="preserve"> shell</w:t>
      </w:r>
      <w:r>
        <w:t xml:space="preserve"> inspection</w:t>
      </w:r>
      <w:r w:rsidR="003E2D2F">
        <w:t xml:space="preserve"> </w:t>
      </w:r>
      <w:r>
        <w:t>is required for each building on the property</w:t>
      </w:r>
      <w:r w:rsidR="00443889">
        <w:t xml:space="preserve"> or 50% of identical</w:t>
      </w:r>
      <w:r w:rsidR="000A3D82">
        <w:t xml:space="preserve"> building types</w:t>
      </w:r>
      <w:r w:rsidR="00113D1D">
        <w:t>.</w:t>
      </w:r>
    </w:p>
    <w:p w14:paraId="55A5C54A" w14:textId="77777777" w:rsidR="00CF2B6B" w:rsidRDefault="000A3D82" w:rsidP="000A3D82">
      <w:pPr>
        <w:pStyle w:val="ListParagraph"/>
        <w:numPr>
          <w:ilvl w:val="0"/>
          <w:numId w:val="5"/>
        </w:numPr>
      </w:pPr>
      <w:r w:rsidRPr="000A3D82">
        <w:rPr>
          <w:i/>
          <w:iCs/>
        </w:rPr>
        <w:t>Form A</w:t>
      </w:r>
      <w:r>
        <w:t xml:space="preserve"> and all notes</w:t>
      </w:r>
      <w:r w:rsidR="00C46DB2" w:rsidRPr="00C00648">
        <w:t xml:space="preserve"> and</w:t>
      </w:r>
      <w:r>
        <w:t xml:space="preserve"> complete</w:t>
      </w:r>
      <w:r w:rsidR="00C46DB2" w:rsidRPr="00C00648">
        <w:t xml:space="preserve"> photographs must be retained in the client file and must clearly indicate the building to which they relate.</w:t>
      </w:r>
    </w:p>
    <w:p w14:paraId="538E80E6" w14:textId="77777777" w:rsidR="007C74B5" w:rsidRPr="00C00648" w:rsidRDefault="007C74B5" w:rsidP="007C74B5">
      <w:pPr>
        <w:pStyle w:val="ListParagraph"/>
        <w:ind w:left="2160"/>
      </w:pPr>
    </w:p>
    <w:p w14:paraId="1CF3C94E" w14:textId="77777777" w:rsidR="00C626F0" w:rsidRPr="00343B5D" w:rsidRDefault="005B7CDC" w:rsidP="00443889">
      <w:pPr>
        <w:pStyle w:val="Heading3"/>
      </w:pPr>
      <w:bookmarkStart w:id="51" w:name="_Toc108442475"/>
      <w:bookmarkStart w:id="52" w:name="_Toc158635154"/>
      <w:r>
        <w:t xml:space="preserve">Dwelling </w:t>
      </w:r>
      <w:r w:rsidR="000A3D82">
        <w:t xml:space="preserve">Unit </w:t>
      </w:r>
      <w:r w:rsidR="00443889">
        <w:t xml:space="preserve">Health </w:t>
      </w:r>
      <w:r w:rsidR="009F16E3">
        <w:t xml:space="preserve">&amp; Safety </w:t>
      </w:r>
      <w:r w:rsidR="00C626F0">
        <w:t>Inspectio</w:t>
      </w:r>
      <w:r w:rsidR="005A30A1">
        <w:t>n</w:t>
      </w:r>
      <w:bookmarkEnd w:id="51"/>
      <w:bookmarkEnd w:id="52"/>
    </w:p>
    <w:p w14:paraId="4F7E6F54" w14:textId="248DAAC9" w:rsidR="000A3D82" w:rsidRDefault="000A3D82" w:rsidP="002B0D50">
      <w:pPr>
        <w:pStyle w:val="ListParagraph"/>
        <w:numPr>
          <w:ilvl w:val="0"/>
          <w:numId w:val="6"/>
        </w:numPr>
      </w:pPr>
      <w:r>
        <w:t xml:space="preserve">Utilize </w:t>
      </w:r>
      <w:r w:rsidRPr="11CE0029">
        <w:rPr>
          <w:i/>
          <w:iCs/>
        </w:rPr>
        <w:t xml:space="preserve">Form H (LRMF </w:t>
      </w:r>
      <w:r w:rsidR="005B7CDC" w:rsidRPr="11CE0029">
        <w:rPr>
          <w:i/>
          <w:iCs/>
        </w:rPr>
        <w:t xml:space="preserve">Dwelling Unit </w:t>
      </w:r>
      <w:r w:rsidRPr="11CE0029">
        <w:rPr>
          <w:i/>
          <w:iCs/>
        </w:rPr>
        <w:t>H&amp;S Checklist)</w:t>
      </w:r>
      <w:r>
        <w:t xml:space="preserve"> to complete this inspection </w:t>
      </w:r>
      <w:r w:rsidR="2B62C50C">
        <w:t>o</w:t>
      </w:r>
      <w:r w:rsidR="6B7EFE14">
        <w:t>f</w:t>
      </w:r>
      <w:r>
        <w:t xml:space="preserve"> 100% of all dwelling units contained in the eligible buildings.</w:t>
      </w:r>
    </w:p>
    <w:p w14:paraId="4081D9FC" w14:textId="77777777" w:rsidR="001E1A7C" w:rsidRDefault="001E1A7C" w:rsidP="000A3D82">
      <w:pPr>
        <w:pStyle w:val="ListParagraph"/>
        <w:numPr>
          <w:ilvl w:val="0"/>
          <w:numId w:val="6"/>
        </w:numPr>
      </w:pPr>
      <w:r w:rsidRPr="00C00648">
        <w:t xml:space="preserve">Notes and photographs must be retained in the client file and must clearly indicate </w:t>
      </w:r>
      <w:r>
        <w:t xml:space="preserve">both </w:t>
      </w:r>
      <w:r w:rsidRPr="00C00648">
        <w:t xml:space="preserve">the building </w:t>
      </w:r>
      <w:r>
        <w:t xml:space="preserve">and apartment number </w:t>
      </w:r>
      <w:r w:rsidRPr="00C00648">
        <w:t>to which they relate.</w:t>
      </w:r>
    </w:p>
    <w:p w14:paraId="509464AC" w14:textId="77777777" w:rsidR="005B7CDC" w:rsidRDefault="005B7CDC" w:rsidP="005B7CDC">
      <w:pPr>
        <w:pStyle w:val="ListParagraph"/>
      </w:pPr>
    </w:p>
    <w:p w14:paraId="016E1D8A" w14:textId="77777777" w:rsidR="005C7EDE" w:rsidRDefault="005C7EDE" w:rsidP="005B7CDC">
      <w:pPr>
        <w:pStyle w:val="ListParagraph"/>
      </w:pPr>
    </w:p>
    <w:p w14:paraId="67E7094D" w14:textId="77777777" w:rsidR="001E1A7C" w:rsidRPr="00343B5D" w:rsidRDefault="00F709D8" w:rsidP="00443889">
      <w:pPr>
        <w:pStyle w:val="Heading3"/>
      </w:pPr>
      <w:bookmarkStart w:id="53" w:name="_Toc108442476"/>
      <w:bookmarkStart w:id="54" w:name="_Toc158635155"/>
      <w:r>
        <w:t>Combustion Safety</w:t>
      </w:r>
      <w:r w:rsidR="00443889">
        <w:t xml:space="preserve"> Inspections/Testing</w:t>
      </w:r>
      <w:bookmarkEnd w:id="53"/>
      <w:bookmarkEnd w:id="54"/>
    </w:p>
    <w:p w14:paraId="255CC19D" w14:textId="77777777" w:rsidR="00952D5C" w:rsidRDefault="00952D5C" w:rsidP="002B0D50">
      <w:pPr>
        <w:pStyle w:val="ListParagraph"/>
        <w:numPr>
          <w:ilvl w:val="0"/>
          <w:numId w:val="3"/>
        </w:numPr>
      </w:pPr>
      <w:r>
        <w:t xml:space="preserve">Utilize </w:t>
      </w:r>
      <w:r w:rsidRPr="11CE0029">
        <w:rPr>
          <w:i/>
          <w:iCs/>
        </w:rPr>
        <w:t xml:space="preserve">Form C (LRMF </w:t>
      </w:r>
      <w:r w:rsidR="00134850" w:rsidRPr="11CE0029">
        <w:rPr>
          <w:i/>
          <w:iCs/>
        </w:rPr>
        <w:t>Combustion Safety</w:t>
      </w:r>
      <w:r w:rsidRPr="11CE0029">
        <w:rPr>
          <w:i/>
          <w:iCs/>
        </w:rPr>
        <w:t xml:space="preserve"> Checklist)</w:t>
      </w:r>
      <w:r>
        <w:t xml:space="preserve"> to complete the d</w:t>
      </w:r>
      <w:r w:rsidR="00B32090">
        <w:t>iagnostic</w:t>
      </w:r>
      <w:r>
        <w:t xml:space="preserve"> inspections/</w:t>
      </w:r>
      <w:r w:rsidR="00B32090">
        <w:t>testing</w:t>
      </w:r>
      <w:r w:rsidR="000A3D82">
        <w:t xml:space="preserve"> of combustion appliances and their related infrastructure</w:t>
      </w:r>
      <w:r>
        <w:t>.</w:t>
      </w:r>
    </w:p>
    <w:p w14:paraId="727C7A6D" w14:textId="77777777" w:rsidR="00B32090" w:rsidRDefault="00952D5C" w:rsidP="002B0D50">
      <w:pPr>
        <w:pStyle w:val="ListParagraph"/>
        <w:numPr>
          <w:ilvl w:val="0"/>
          <w:numId w:val="3"/>
        </w:numPr>
      </w:pPr>
      <w:r>
        <w:t>Combustion safety inspections are re</w:t>
      </w:r>
      <w:r w:rsidR="00B32090">
        <w:t xml:space="preserve">quired </w:t>
      </w:r>
      <w:r w:rsidR="003A6A70">
        <w:t>for</w:t>
      </w:r>
      <w:r w:rsidR="00B32090">
        <w:t xml:space="preserve"> a </w:t>
      </w:r>
      <w:r w:rsidR="000A3D82">
        <w:t xml:space="preserve">representative </w:t>
      </w:r>
      <w:r w:rsidR="00B32090">
        <w:t xml:space="preserve">sample of </w:t>
      </w:r>
      <w:r w:rsidR="000A3D82">
        <w:t>appliances</w:t>
      </w:r>
      <w:r w:rsidR="00414A0C">
        <w:t xml:space="preserve"> during the initial audit</w:t>
      </w:r>
      <w:r w:rsidR="000A3D82">
        <w:t xml:space="preserve">. A minimum of 50% of each appliance type </w:t>
      </w:r>
      <w:r>
        <w:t xml:space="preserve">must be tested and the results recorded using </w:t>
      </w:r>
      <w:r w:rsidRPr="00430BF8">
        <w:rPr>
          <w:i/>
          <w:iCs/>
        </w:rPr>
        <w:t>Form C</w:t>
      </w:r>
      <w:r>
        <w:t>.</w:t>
      </w:r>
    </w:p>
    <w:p w14:paraId="2C7191FF" w14:textId="77777777" w:rsidR="00B32090" w:rsidRDefault="00B32090" w:rsidP="00952D5C">
      <w:pPr>
        <w:pStyle w:val="ListParagraph"/>
        <w:numPr>
          <w:ilvl w:val="0"/>
          <w:numId w:val="6"/>
        </w:numPr>
      </w:pPr>
      <w:r>
        <w:t xml:space="preserve">Legible photographs of all diagnostic test results are </w:t>
      </w:r>
      <w:r w:rsidR="00430BF8">
        <w:t>required,</w:t>
      </w:r>
      <w:r w:rsidR="00952D5C">
        <w:t xml:space="preserve"> and n</w:t>
      </w:r>
      <w:r w:rsidR="00952D5C" w:rsidRPr="00C00648">
        <w:t xml:space="preserve">otes and photographs must be retained in the client file and must clearly indicate </w:t>
      </w:r>
      <w:r w:rsidR="00952D5C">
        <w:t xml:space="preserve">both </w:t>
      </w:r>
      <w:r w:rsidR="00952D5C" w:rsidRPr="00C00648">
        <w:t xml:space="preserve">the building </w:t>
      </w:r>
      <w:r w:rsidR="00952D5C">
        <w:t xml:space="preserve">and apartment number </w:t>
      </w:r>
      <w:r w:rsidR="00952D5C" w:rsidRPr="00C00648">
        <w:t>to which they relate.</w:t>
      </w:r>
    </w:p>
    <w:p w14:paraId="7CDC47A5" w14:textId="7AABE769" w:rsidR="007478CB" w:rsidRDefault="007478CB" w:rsidP="5AC99018">
      <w:pPr>
        <w:pStyle w:val="NoSpacing"/>
      </w:pPr>
    </w:p>
    <w:p w14:paraId="29B57F9A" w14:textId="77777777" w:rsidR="00A36491" w:rsidRPr="00A36491" w:rsidRDefault="00430BF8" w:rsidP="00A36491">
      <w:pPr>
        <w:pStyle w:val="Heading1"/>
        <w:rPr>
          <w:u w:val="single"/>
        </w:rPr>
      </w:pPr>
      <w:bookmarkStart w:id="55" w:name="_Toc108442477"/>
      <w:bookmarkStart w:id="56" w:name="_Toc158635156"/>
      <w:r w:rsidRPr="78C8F966">
        <w:rPr>
          <w:u w:val="single"/>
        </w:rPr>
        <w:lastRenderedPageBreak/>
        <w:t xml:space="preserve">Final </w:t>
      </w:r>
      <w:r w:rsidR="00A36491" w:rsidRPr="78C8F966">
        <w:rPr>
          <w:u w:val="single"/>
        </w:rPr>
        <w:t>Inspection</w:t>
      </w:r>
      <w:r w:rsidRPr="78C8F966">
        <w:rPr>
          <w:u w:val="single"/>
        </w:rPr>
        <w:t>s</w:t>
      </w:r>
      <w:bookmarkEnd w:id="55"/>
      <w:bookmarkEnd w:id="56"/>
    </w:p>
    <w:p w14:paraId="32ECF7C2" w14:textId="0525241C" w:rsidR="00430BF8" w:rsidRDefault="004F44DF" w:rsidP="00A36491">
      <w:pPr>
        <w:pStyle w:val="ListParagraph"/>
        <w:numPr>
          <w:ilvl w:val="0"/>
          <w:numId w:val="12"/>
        </w:numPr>
      </w:pPr>
      <w:r>
        <w:t>After weatherization work has been completed, a</w:t>
      </w:r>
      <w:r w:rsidR="0051128E">
        <w:t xml:space="preserve"> Home Energy Professional (</w:t>
      </w:r>
      <w:r w:rsidR="00411BFF">
        <w:t>HEP</w:t>
      </w:r>
      <w:r w:rsidR="0051128E">
        <w:t>)</w:t>
      </w:r>
      <w:r w:rsidR="00411BFF">
        <w:t xml:space="preserve"> QCI certified inspector must</w:t>
      </w:r>
      <w:r>
        <w:t xml:space="preserve"> </w:t>
      </w:r>
      <w:r w:rsidR="297A2B55">
        <w:t>inspect</w:t>
      </w:r>
      <w:r>
        <w:t xml:space="preserve"> </w:t>
      </w:r>
      <w:r w:rsidR="00DE4AEA">
        <w:t xml:space="preserve">every </w:t>
      </w:r>
      <w:r w:rsidR="00414A0C">
        <w:t>unit</w:t>
      </w:r>
      <w:r w:rsidR="00430BF8">
        <w:t xml:space="preserve"> </w:t>
      </w:r>
      <w:r w:rsidR="00411BFF">
        <w:t>where work was completed with DOE WAP funds.</w:t>
      </w:r>
      <w:r w:rsidR="00430BF8">
        <w:t xml:space="preserve"> </w:t>
      </w:r>
    </w:p>
    <w:p w14:paraId="47E9ABE3" w14:textId="252F09BB" w:rsidR="00311BC7" w:rsidRDefault="00E341FC" w:rsidP="00311BC7">
      <w:pPr>
        <w:pStyle w:val="ListParagraph"/>
        <w:numPr>
          <w:ilvl w:val="0"/>
          <w:numId w:val="12"/>
        </w:numPr>
      </w:pPr>
      <w:r>
        <w:t xml:space="preserve">The </w:t>
      </w:r>
      <w:r w:rsidR="00411BFF">
        <w:t>final inspector</w:t>
      </w:r>
      <w:r>
        <w:t xml:space="preserve"> shall complete </w:t>
      </w:r>
      <w:r w:rsidR="00080E97">
        <w:rPr>
          <w:i/>
          <w:iCs/>
        </w:rPr>
        <w:t>THDA’s Multifamily inspection form</w:t>
      </w:r>
      <w:commentRangeStart w:id="57"/>
      <w:commentRangeStart w:id="58"/>
      <w:r>
        <w:t xml:space="preserve"> </w:t>
      </w:r>
      <w:commentRangeEnd w:id="57"/>
      <w:r w:rsidR="0040241E">
        <w:rPr>
          <w:rStyle w:val="CommentReference"/>
        </w:rPr>
        <w:commentReference w:id="57"/>
      </w:r>
      <w:commentRangeEnd w:id="58"/>
      <w:r w:rsidR="00080E97">
        <w:rPr>
          <w:rStyle w:val="CommentReference"/>
        </w:rPr>
        <w:commentReference w:id="58"/>
      </w:r>
      <w:r>
        <w:t xml:space="preserve">for each building inspected. </w:t>
      </w:r>
    </w:p>
    <w:p w14:paraId="6A73F835" w14:textId="5144F09D" w:rsidR="00195F15" w:rsidRDefault="00A22F03" w:rsidP="00311BC7">
      <w:pPr>
        <w:pStyle w:val="ListParagraph"/>
        <w:numPr>
          <w:ilvl w:val="0"/>
          <w:numId w:val="12"/>
        </w:numPr>
      </w:pPr>
      <w:r>
        <w:t xml:space="preserve">The </w:t>
      </w:r>
      <w:r w:rsidR="00411BFF">
        <w:t xml:space="preserve">final inspector </w:t>
      </w:r>
      <w:r>
        <w:t xml:space="preserve">shall complete </w:t>
      </w:r>
      <w:r w:rsidR="00411BFF" w:rsidRPr="00311BC7">
        <w:rPr>
          <w:i/>
          <w:iCs/>
        </w:rPr>
        <w:t xml:space="preserve">Form C (LRMF </w:t>
      </w:r>
      <w:r w:rsidR="00134850" w:rsidRPr="00311BC7">
        <w:rPr>
          <w:i/>
          <w:iCs/>
        </w:rPr>
        <w:t>Combustion Safety</w:t>
      </w:r>
      <w:r w:rsidR="00411BFF" w:rsidRPr="00311BC7">
        <w:rPr>
          <w:i/>
          <w:iCs/>
        </w:rPr>
        <w:t xml:space="preserve"> Checklist)</w:t>
      </w:r>
      <w:r w:rsidR="00411BFF">
        <w:t xml:space="preserve"> </w:t>
      </w:r>
      <w:r>
        <w:t xml:space="preserve">for every </w:t>
      </w:r>
      <w:r w:rsidR="00411BFF">
        <w:t>combustion appliance in the inspected buildings</w:t>
      </w:r>
      <w:r w:rsidR="005D03EF">
        <w:t xml:space="preserve">, </w:t>
      </w:r>
      <w:r w:rsidR="0051128E">
        <w:t>(</w:t>
      </w:r>
      <w:r w:rsidR="005D03EF">
        <w:t>i.e</w:t>
      </w:r>
      <w:r w:rsidR="00411BFF">
        <w:t>.</w:t>
      </w:r>
      <w:r w:rsidR="005D03EF">
        <w:t xml:space="preserve">, </w:t>
      </w:r>
      <w:r w:rsidR="003F7970" w:rsidRPr="007D25FC">
        <w:t>10</w:t>
      </w:r>
      <w:r w:rsidR="00C01284" w:rsidRPr="007D25FC">
        <w:t>0%</w:t>
      </w:r>
      <w:r w:rsidR="003F7970" w:rsidRPr="007D25FC">
        <w:t xml:space="preserve"> of</w:t>
      </w:r>
      <w:r w:rsidR="003F7970">
        <w:t xml:space="preserve"> combustion appliances </w:t>
      </w:r>
      <w:r w:rsidR="00C01284" w:rsidRPr="00C01284">
        <w:t>must</w:t>
      </w:r>
      <w:r w:rsidR="007D25FC">
        <w:t xml:space="preserve"> receive combustion safety testing during the final inspection</w:t>
      </w:r>
      <w:r w:rsidR="0051128E">
        <w:t>)</w:t>
      </w:r>
      <w:r w:rsidR="007D25FC">
        <w:t xml:space="preserve">. </w:t>
      </w:r>
    </w:p>
    <w:p w14:paraId="0E5CA7A6" w14:textId="199E9AA1" w:rsidR="00411BFF" w:rsidRDefault="00411BFF" w:rsidP="00411BFF">
      <w:pPr>
        <w:pStyle w:val="ListParagraph"/>
        <w:numPr>
          <w:ilvl w:val="0"/>
          <w:numId w:val="6"/>
        </w:numPr>
      </w:pPr>
      <w:r>
        <w:t xml:space="preserve">Forms, notes, and photographs of </w:t>
      </w:r>
      <w:r w:rsidR="59ECBAD8">
        <w:t>the entire</w:t>
      </w:r>
      <w:r>
        <w:t xml:space="preserve"> inspection must be retained in the</w:t>
      </w:r>
      <w:r w:rsidR="5AF4B50A">
        <w:t xml:space="preserve"> property’s</w:t>
      </w:r>
      <w:r>
        <w:t xml:space="preserve"> </w:t>
      </w:r>
      <w:r w:rsidR="2DE46B57">
        <w:t>project file</w:t>
      </w:r>
      <w:r>
        <w:t xml:space="preserve"> and must clearly indicate both the building and apartment number to which they relate.</w:t>
      </w:r>
    </w:p>
    <w:p w14:paraId="4566E48D" w14:textId="74A42774" w:rsidR="00F539CF" w:rsidRPr="00A36491" w:rsidRDefault="002F75C9" w:rsidP="098D9902">
      <w:pPr>
        <w:pStyle w:val="ListParagraph"/>
        <w:numPr>
          <w:ilvl w:val="0"/>
          <w:numId w:val="6"/>
        </w:numPr>
      </w:pPr>
      <w:r>
        <w:t xml:space="preserve">The failure </w:t>
      </w:r>
      <w:r w:rsidR="0090209B">
        <w:t xml:space="preserve">of </w:t>
      </w:r>
      <w:r>
        <w:t xml:space="preserve">any measure </w:t>
      </w:r>
      <w:r w:rsidR="0090209B">
        <w:t xml:space="preserve">during the </w:t>
      </w:r>
      <w:r>
        <w:t xml:space="preserve">final </w:t>
      </w:r>
      <w:r w:rsidR="0090209B">
        <w:t xml:space="preserve">inspection will require remediation and re-inspection. </w:t>
      </w:r>
      <w:r>
        <w:t xml:space="preserve">The auditor must document the specific failure and cite the Grantee policy </w:t>
      </w:r>
      <w:r w:rsidR="7AAC8370">
        <w:t>that relates</w:t>
      </w:r>
      <w:r>
        <w:t xml:space="preserve"> to the failure. </w:t>
      </w:r>
      <w:r w:rsidR="0090209B">
        <w:t>Re-inspection is required for corrected measures only.</w:t>
      </w:r>
      <w:r w:rsidR="00A73D22">
        <w:t xml:space="preserve"> Remediation shall continue until all requirements are satisfied.</w:t>
      </w:r>
      <w:r w:rsidR="00F539CF">
        <w:t xml:space="preserve"> </w:t>
      </w:r>
    </w:p>
    <w:sectPr w:rsidR="00F539CF" w:rsidRPr="00A36491" w:rsidSect="00E266FA">
      <w:footerReference w:type="default" r:id="rId14"/>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DOE Reviewer" w:date="2024-02-22T12:58:00Z" w:initials="DOE">
    <w:p w14:paraId="25C10F5D" w14:textId="77777777" w:rsidR="0040241E" w:rsidRDefault="00673875" w:rsidP="0040241E">
      <w:pPr>
        <w:pStyle w:val="CommentText"/>
      </w:pPr>
      <w:r>
        <w:rPr>
          <w:rStyle w:val="CommentReference"/>
        </w:rPr>
        <w:annotationRef/>
      </w:r>
      <w:r w:rsidR="0040241E">
        <w:t>Affects Technical Approval:</w:t>
      </w:r>
    </w:p>
    <w:p w14:paraId="7A7716B5" w14:textId="77777777" w:rsidR="0040241E" w:rsidRDefault="0040241E" w:rsidP="0040241E">
      <w:pPr>
        <w:pStyle w:val="CommentText"/>
      </w:pPr>
    </w:p>
    <w:p w14:paraId="45AF193C" w14:textId="77777777" w:rsidR="0040241E" w:rsidRDefault="0040241E" w:rsidP="0040241E">
      <w:pPr>
        <w:pStyle w:val="CommentText"/>
      </w:pPr>
      <w:r>
        <w:t>All definitions must be updated per updates to WPN 22-8 released in September 2023 (per Memo 114).</w:t>
      </w:r>
    </w:p>
    <w:p w14:paraId="6967F9D2" w14:textId="77777777" w:rsidR="0040241E" w:rsidRDefault="0040241E" w:rsidP="0040241E">
      <w:pPr>
        <w:pStyle w:val="CommentText"/>
      </w:pPr>
    </w:p>
    <w:p w14:paraId="54E7E420" w14:textId="77777777" w:rsidR="0040241E" w:rsidRDefault="0040241E" w:rsidP="0040241E">
      <w:pPr>
        <w:pStyle w:val="CommentText"/>
      </w:pPr>
      <w:r>
        <w:t>This relates particularly to EER2, HSPF2 and SEER2.</w:t>
      </w:r>
    </w:p>
    <w:p w14:paraId="5F277C9C" w14:textId="77777777" w:rsidR="0040241E" w:rsidRDefault="0040241E" w:rsidP="0040241E">
      <w:pPr>
        <w:pStyle w:val="CommentText"/>
      </w:pPr>
    </w:p>
    <w:p w14:paraId="7BD4EAB3" w14:textId="77777777" w:rsidR="0040241E" w:rsidRDefault="0040241E" w:rsidP="0040241E">
      <w:pPr>
        <w:pStyle w:val="CommentText"/>
      </w:pPr>
      <w:r>
        <w:t>https://www.energy.gov/sites/default/files/2023-09/Attachment-3_Optional-Regional-Priority-Lists_Low-Rise-Multifamily-Homes_Revised-092023.pdf</w:t>
      </w:r>
    </w:p>
  </w:comment>
  <w:comment w:id="5" w:author="Ravi Malhotra" w:date="2024-03-15T12:29:00Z" w:initials="RM">
    <w:p w14:paraId="5784303F" w14:textId="77777777" w:rsidR="00B226E8" w:rsidRDefault="00B226E8" w:rsidP="00F57A75">
      <w:pPr>
        <w:pStyle w:val="CommentText"/>
      </w:pPr>
      <w:r>
        <w:rPr>
          <w:rStyle w:val="CommentReference"/>
        </w:rPr>
        <w:annotationRef/>
      </w:r>
      <w:r>
        <w:t>Can we reference the link and latest WPN as the source of all definitions and state that the DOE latest overrides anything presented in this doc.   This is do that we do not have to update this every time DOE does an update.</w:t>
      </w:r>
    </w:p>
  </w:comment>
  <w:comment w:id="6" w:author="DOE Reviewer" w:date="2024-03-27T10:03:00Z" w:initials="DOE">
    <w:p w14:paraId="4DD43D7A" w14:textId="1E336ACD" w:rsidR="001C7A67" w:rsidRDefault="001C7A67">
      <w:pPr>
        <w:pStyle w:val="CommentText"/>
      </w:pPr>
      <w:r>
        <w:rPr>
          <w:rStyle w:val="CommentReference"/>
        </w:rPr>
        <w:annotationRef/>
      </w:r>
      <w:r>
        <w:t>It is typically DOE’s policy that the Grantee must issue their own guidance, rather than direct Subgrantees to seek out current DOE guidance.</w:t>
      </w:r>
      <w:r w:rsidR="00743956">
        <w:t xml:space="preserve"> Please make the changes as requested.</w:t>
      </w:r>
    </w:p>
  </w:comment>
  <w:comment w:id="7" w:author="Ravi Malhotra" w:date="2024-04-07T08:39:00Z" w:initials="RM">
    <w:p w14:paraId="78EC10EE" w14:textId="77777777" w:rsidR="00FC2B1F" w:rsidRDefault="00FC2B1F" w:rsidP="00A848A1">
      <w:pPr>
        <w:pStyle w:val="CommentText"/>
      </w:pPr>
      <w:r>
        <w:rPr>
          <w:rStyle w:val="CommentReference"/>
        </w:rPr>
        <w:annotationRef/>
      </w:r>
      <w:r>
        <w:t>THDA does not to follow 'typical DOE policy' and come up with its own guidance, and then justify it to DOE.  If THDA likes the DOE guidance, why can't it reference the DOE guidance!</w:t>
      </w:r>
    </w:p>
  </w:comment>
  <w:comment w:id="8" w:author="Aaron Walker" w:date="2024-04-08T20:17:00Z" w:initials="AW">
    <w:p w14:paraId="1DB9938F" w14:textId="77777777" w:rsidR="00EA7649" w:rsidRDefault="00EA7649" w:rsidP="00EA7649">
      <w:pPr>
        <w:pStyle w:val="CommentText"/>
      </w:pPr>
      <w:r>
        <w:rPr>
          <w:rStyle w:val="CommentReference"/>
        </w:rPr>
        <w:annotationRef/>
      </w:r>
      <w:r>
        <w:t>Definitions have been updated to follow Memo 114</w:t>
      </w:r>
    </w:p>
  </w:comment>
  <w:comment w:id="16" w:author="DOE Reviewer" w:date="2024-02-22T13:31:00Z" w:initials="DOE">
    <w:p w14:paraId="4415D5CA" w14:textId="71E38EB8" w:rsidR="005601FE" w:rsidRDefault="005601FE" w:rsidP="005601FE">
      <w:pPr>
        <w:pStyle w:val="CommentText"/>
      </w:pPr>
      <w:r>
        <w:rPr>
          <w:rStyle w:val="CommentReference"/>
        </w:rPr>
        <w:annotationRef/>
      </w:r>
      <w:r>
        <w:t>Affects Technical Approval:</w:t>
      </w:r>
    </w:p>
    <w:p w14:paraId="14B77B21" w14:textId="77777777" w:rsidR="005601FE" w:rsidRDefault="005601FE" w:rsidP="005601FE">
      <w:pPr>
        <w:pStyle w:val="CommentText"/>
      </w:pPr>
    </w:p>
    <w:p w14:paraId="63AC41C8" w14:textId="5DFB652C" w:rsidR="005601FE" w:rsidRDefault="005601FE" w:rsidP="005601FE">
      <w:pPr>
        <w:pStyle w:val="CommentText"/>
      </w:pPr>
      <w:r>
        <w:t>As this document is meant to be the Grantee’s document which will be provided to Subgrantees, this word does not apply. Please reword this sentence as needed.</w:t>
      </w:r>
    </w:p>
  </w:comment>
  <w:comment w:id="17" w:author="Ravi Malhotra" w:date="2024-03-15T12:31:00Z" w:initials="RM">
    <w:p w14:paraId="0217736F" w14:textId="77777777" w:rsidR="00B226E8" w:rsidRDefault="00B226E8" w:rsidP="00A26EC5">
      <w:pPr>
        <w:pStyle w:val="CommentText"/>
      </w:pPr>
      <w:r>
        <w:rPr>
          <w:rStyle w:val="CommentReference"/>
        </w:rPr>
        <w:annotationRef/>
      </w:r>
      <w:r>
        <w:t>Done.</w:t>
      </w:r>
    </w:p>
  </w:comment>
  <w:comment w:id="23" w:author="DOE Reviewer" w:date="2024-02-22T13:01:00Z" w:initials="DOE">
    <w:p w14:paraId="081F1E06" w14:textId="01BF5313" w:rsidR="00673875" w:rsidRDefault="00673875">
      <w:pPr>
        <w:pStyle w:val="CommentText"/>
      </w:pPr>
      <w:r>
        <w:rPr>
          <w:rStyle w:val="CommentReference"/>
        </w:rPr>
        <w:annotationRef/>
      </w:r>
      <w:r>
        <w:t>Affects Technical Approval:</w:t>
      </w:r>
    </w:p>
    <w:p w14:paraId="3041579E" w14:textId="77777777" w:rsidR="00673875" w:rsidRDefault="00673875">
      <w:pPr>
        <w:pStyle w:val="CommentText"/>
      </w:pPr>
    </w:p>
    <w:p w14:paraId="5490DB44" w14:textId="370106D4" w:rsidR="00673875" w:rsidRDefault="00673875">
      <w:pPr>
        <w:pStyle w:val="CommentText"/>
      </w:pPr>
      <w:r>
        <w:t>As this document is meant to be the Grantee’s document which will be provided to Subgrantees, this word does not apply. Please reword this sentence as needed.</w:t>
      </w:r>
    </w:p>
  </w:comment>
  <w:comment w:id="24" w:author="Ravi Malhotra" w:date="2024-03-15T12:33:00Z" w:initials="RM">
    <w:p w14:paraId="1A27D985" w14:textId="77777777" w:rsidR="00B226E8" w:rsidRDefault="00B226E8" w:rsidP="00761745">
      <w:pPr>
        <w:pStyle w:val="CommentText"/>
      </w:pPr>
      <w:r>
        <w:rPr>
          <w:rStyle w:val="CommentReference"/>
        </w:rPr>
        <w:annotationRef/>
      </w:r>
      <w:r>
        <w:t>Done.</w:t>
      </w:r>
    </w:p>
  </w:comment>
  <w:comment w:id="25" w:author="DOE Reviewer" w:date="2024-02-22T13:03:00Z" w:initials="DOE">
    <w:p w14:paraId="6F0BC540" w14:textId="106C9D02" w:rsidR="00673875" w:rsidRDefault="00673875" w:rsidP="00673875">
      <w:pPr>
        <w:pStyle w:val="CommentText"/>
      </w:pPr>
      <w:r>
        <w:rPr>
          <w:rStyle w:val="CommentReference"/>
        </w:rPr>
        <w:annotationRef/>
      </w:r>
      <w:r>
        <w:t>Affects Technical Approval:</w:t>
      </w:r>
    </w:p>
    <w:p w14:paraId="319B0995" w14:textId="77777777" w:rsidR="00673875" w:rsidRDefault="00673875" w:rsidP="00673875">
      <w:pPr>
        <w:pStyle w:val="CommentText"/>
      </w:pPr>
    </w:p>
    <w:p w14:paraId="5B8781DC" w14:textId="23CB712C" w:rsidR="00673875" w:rsidRDefault="00673875" w:rsidP="00673875">
      <w:pPr>
        <w:pStyle w:val="CommentText"/>
      </w:pPr>
      <w:r>
        <w:t>Please add here the following wording from WPN 22-8 Attachment 3: “</w:t>
      </w:r>
      <w:r>
        <w:rPr>
          <w:sz w:val="22"/>
          <w:szCs w:val="22"/>
        </w:rPr>
        <w:t>If another funding source is used for a mandatory measure, it must meet the requirements of the DOE WAP as outlined in the PL.”</w:t>
      </w:r>
    </w:p>
  </w:comment>
  <w:comment w:id="26" w:author="Ravi Malhotra" w:date="2024-03-15T12:33:00Z" w:initials="RM">
    <w:p w14:paraId="13D80C65" w14:textId="77777777" w:rsidR="00B226E8" w:rsidRDefault="00B226E8" w:rsidP="00392AAF">
      <w:pPr>
        <w:pStyle w:val="CommentText"/>
      </w:pPr>
      <w:r>
        <w:rPr>
          <w:rStyle w:val="CommentReference"/>
        </w:rPr>
        <w:annotationRef/>
      </w:r>
      <w:r>
        <w:t>done</w:t>
      </w:r>
    </w:p>
  </w:comment>
  <w:comment w:id="29" w:author="DOE Reviewer" w:date="2024-02-22T13:03:00Z" w:initials="DOE">
    <w:p w14:paraId="1350E7FB" w14:textId="42B0F806" w:rsidR="00673875" w:rsidRDefault="00673875" w:rsidP="00673875">
      <w:pPr>
        <w:pStyle w:val="CommentText"/>
      </w:pPr>
      <w:r>
        <w:rPr>
          <w:rStyle w:val="CommentReference"/>
        </w:rPr>
        <w:annotationRef/>
      </w:r>
      <w:r>
        <w:t>Affects Technical Approval:</w:t>
      </w:r>
    </w:p>
    <w:p w14:paraId="21E05596" w14:textId="77777777" w:rsidR="00673875" w:rsidRDefault="00673875" w:rsidP="00673875">
      <w:pPr>
        <w:pStyle w:val="CommentText"/>
      </w:pPr>
    </w:p>
    <w:p w14:paraId="2E23A5D7" w14:textId="77777777" w:rsidR="00305D05" w:rsidRDefault="00673875" w:rsidP="00673875">
      <w:pPr>
        <w:pStyle w:val="CommentText"/>
      </w:pPr>
      <w:r>
        <w:t>There are multiple mandatory measures whose necessity is dependent on the accessibility of the measure location. Per WPN 22-8 FAQ, “Grantees must have policies to identity what is applicable/accessible.”</w:t>
      </w:r>
      <w:r w:rsidR="00305D05">
        <w:t xml:space="preserve">. </w:t>
      </w:r>
    </w:p>
    <w:p w14:paraId="507C543E" w14:textId="77777777" w:rsidR="00305D05" w:rsidRDefault="00305D05" w:rsidP="00673875">
      <w:pPr>
        <w:pStyle w:val="CommentText"/>
      </w:pPr>
    </w:p>
    <w:p w14:paraId="36402752" w14:textId="749EEAF5" w:rsidR="00673875" w:rsidRDefault="00305D05" w:rsidP="00673875">
      <w:pPr>
        <w:pStyle w:val="CommentText"/>
      </w:pPr>
      <w:r>
        <w:t xml:space="preserve">This is </w:t>
      </w:r>
      <w:r w:rsidR="002E721C">
        <w:t xml:space="preserve">essential to ensure both a </w:t>
      </w:r>
      <w:r>
        <w:t>consistent measure selection</w:t>
      </w:r>
      <w:r w:rsidR="002E721C">
        <w:t xml:space="preserve"> which, in turn, ensures that no applicable mandatory measures are being inadvertently skipped.</w:t>
      </w:r>
    </w:p>
    <w:p w14:paraId="17691859" w14:textId="77777777" w:rsidR="00673875" w:rsidRDefault="00673875" w:rsidP="00673875">
      <w:pPr>
        <w:pStyle w:val="CommentText"/>
      </w:pPr>
    </w:p>
    <w:p w14:paraId="6D4D31FC" w14:textId="77777777" w:rsidR="008F6E1B" w:rsidRDefault="00673875" w:rsidP="00673875">
      <w:pPr>
        <w:pStyle w:val="CommentText"/>
      </w:pPr>
      <w:r>
        <w:t xml:space="preserve">The Grantee </w:t>
      </w:r>
      <w:r w:rsidR="008F6E1B">
        <w:t>must</w:t>
      </w:r>
      <w:r>
        <w:t xml:space="preserve"> add language </w:t>
      </w:r>
      <w:r w:rsidR="008F6E1B">
        <w:t xml:space="preserve">to ensure a consistent approach to ‘accessible’ among all Subgrantees. </w:t>
      </w:r>
    </w:p>
    <w:p w14:paraId="6240F3E9" w14:textId="77777777" w:rsidR="008F6E1B" w:rsidRDefault="008F6E1B" w:rsidP="00673875">
      <w:pPr>
        <w:pStyle w:val="CommentText"/>
      </w:pPr>
    </w:p>
    <w:p w14:paraId="2818FEC7" w14:textId="4583898E" w:rsidR="008F6E1B" w:rsidRDefault="008F6E1B" w:rsidP="00673875">
      <w:pPr>
        <w:pStyle w:val="CommentText"/>
      </w:pPr>
      <w:r>
        <w:t>Is there a height limitation below which a space is deemed inaccessible? H</w:t>
      </w:r>
      <w:r w:rsidR="00673875">
        <w:t xml:space="preserve">ow much alteration is acceptable in order to achieve accessibility. For example, can a hatch be created to access a finished or unfinished attic? Can floorboards be removed from a floored attic? </w:t>
      </w:r>
    </w:p>
    <w:p w14:paraId="3F2060F5" w14:textId="77777777" w:rsidR="008F6E1B" w:rsidRDefault="008F6E1B" w:rsidP="00673875">
      <w:pPr>
        <w:pStyle w:val="CommentText"/>
      </w:pPr>
    </w:p>
    <w:p w14:paraId="79326621" w14:textId="77777777" w:rsidR="00673875" w:rsidRDefault="008F6E1B" w:rsidP="00673875">
      <w:pPr>
        <w:pStyle w:val="CommentText"/>
      </w:pPr>
      <w:r>
        <w:t>The Grantee may choose to set</w:t>
      </w:r>
      <w:r w:rsidR="00673875">
        <w:t xml:space="preserve"> a limit</w:t>
      </w:r>
      <w:r>
        <w:t xml:space="preserve"> </w:t>
      </w:r>
      <w:r w:rsidR="00673875">
        <w:t>based on cost, or labor</w:t>
      </w:r>
      <w:r>
        <w:t xml:space="preserve"> time</w:t>
      </w:r>
      <w:r w:rsidR="00673875">
        <w:t>, or area to be disturbed</w:t>
      </w:r>
      <w:r>
        <w:t>, or a combination of any of these.</w:t>
      </w:r>
    </w:p>
    <w:p w14:paraId="653ADFAE" w14:textId="7226A452" w:rsidR="00E719C7" w:rsidRPr="00E719C7" w:rsidRDefault="00E719C7" w:rsidP="00673875">
      <w:pPr>
        <w:pStyle w:val="CommentText"/>
        <w:rPr>
          <w:rFonts w:cstheme="minorHAnsi"/>
        </w:rPr>
      </w:pPr>
    </w:p>
  </w:comment>
  <w:comment w:id="30" w:author="Ravi Malhotra" w:date="2024-03-15T12:50:00Z" w:initials="RM">
    <w:p w14:paraId="12219793" w14:textId="529E4F40" w:rsidR="00080E97" w:rsidRDefault="00080E97" w:rsidP="00793C99">
      <w:pPr>
        <w:pStyle w:val="CommentText"/>
      </w:pPr>
      <w:r>
        <w:rPr>
          <w:rStyle w:val="CommentReference"/>
        </w:rPr>
        <w:annotationRef/>
      </w:r>
      <w:r w:rsidR="001C7A67">
        <w:t>D</w:t>
      </w:r>
      <w:r>
        <w:t>one</w:t>
      </w:r>
    </w:p>
    <w:p w14:paraId="24D86CCC" w14:textId="77777777" w:rsidR="001C7A67" w:rsidRDefault="001C7A67" w:rsidP="00793C99">
      <w:pPr>
        <w:pStyle w:val="CommentText"/>
      </w:pPr>
    </w:p>
  </w:comment>
  <w:comment w:id="31" w:author="DOE Reviewer" w:date="2024-03-27T10:07:00Z" w:initials="DOE">
    <w:p w14:paraId="12915CFF" w14:textId="607414C2" w:rsidR="001C7A67" w:rsidRDefault="001C7A67">
      <w:pPr>
        <w:pStyle w:val="CommentText"/>
      </w:pPr>
      <w:r>
        <w:rPr>
          <w:rStyle w:val="CommentReference"/>
        </w:rPr>
        <w:annotationRef/>
      </w:r>
      <w:r>
        <w:t>This improves the clarification for what is ‘accessible.’ However, it still is very much open to interpretation. How much is too much extra cost or too much extra time? Please note that the purpose here is to ensure consistency across the Grantee’s network.</w:t>
      </w:r>
    </w:p>
    <w:p w14:paraId="155EFC71" w14:textId="77777777" w:rsidR="001C7A67" w:rsidRDefault="001C7A67">
      <w:pPr>
        <w:pStyle w:val="CommentText"/>
      </w:pPr>
    </w:p>
    <w:p w14:paraId="5AE4CAB2" w14:textId="77777777" w:rsidR="001C7A67" w:rsidRDefault="001C7A67" w:rsidP="001C7A67">
      <w:pPr>
        <w:pStyle w:val="CommentText"/>
      </w:pPr>
      <w:r>
        <w:t xml:space="preserve">The Grantee may choose to define accessibility by any metric but we recommend one or more of the following: a maximum square footage that can be altered, a maximum cost, and/or maximum labor hours. </w:t>
      </w:r>
    </w:p>
    <w:p w14:paraId="1640FACA" w14:textId="77777777" w:rsidR="001C7A67" w:rsidRDefault="001C7A67" w:rsidP="001C7A67">
      <w:pPr>
        <w:pStyle w:val="CommentText"/>
      </w:pPr>
    </w:p>
    <w:p w14:paraId="1E533493" w14:textId="0CC1DF69" w:rsidR="001C7A67" w:rsidRDefault="001C7A67" w:rsidP="001C7A67">
      <w:pPr>
        <w:pStyle w:val="CommentText"/>
      </w:pPr>
      <w:r>
        <w:t>Guidance should answer, for example, whether a hatch can be built to access an attic area; or whether floor boards can be removed from a floored attic; or what conditions make a duct system inaccessible; etc.</w:t>
      </w:r>
    </w:p>
  </w:comment>
  <w:comment w:id="32" w:author="Ravi Malhotra" w:date="2024-04-07T08:41:00Z" w:initials="RM">
    <w:p w14:paraId="500EA0BA" w14:textId="77777777" w:rsidR="00FC2B1F" w:rsidRDefault="00FC2B1F" w:rsidP="00CE5F02">
      <w:pPr>
        <w:pStyle w:val="CommentText"/>
      </w:pPr>
      <w:r>
        <w:rPr>
          <w:rStyle w:val="CommentReference"/>
        </w:rPr>
        <w:annotationRef/>
      </w:r>
      <w:r>
        <w:t xml:space="preserve">We will use the criteria of 'minor repair' to define extra cost so if the measure cannot be implemented with DOE's minor repair budget, we will skip it.   </w:t>
      </w:r>
    </w:p>
  </w:comment>
  <w:comment w:id="33" w:author="Aaron Walker" w:date="2024-04-08T20:18:00Z" w:initials="AW">
    <w:p w14:paraId="587C6A89" w14:textId="77777777" w:rsidR="00EA7649" w:rsidRDefault="00EA7649" w:rsidP="00EA7649">
      <w:pPr>
        <w:pStyle w:val="CommentText"/>
      </w:pPr>
      <w:r>
        <w:rPr>
          <w:rStyle w:val="CommentReference"/>
        </w:rPr>
        <w:annotationRef/>
      </w:r>
      <w:r>
        <w:t xml:space="preserve">Defined measure skipping as minor repair </w:t>
      </w:r>
    </w:p>
  </w:comment>
  <w:comment w:id="43" w:author="DOE Reviewer" w:date="2024-02-22T13:12:00Z" w:initials="DOE">
    <w:p w14:paraId="0CDE58EB" w14:textId="183F9BB4" w:rsidR="0040241E" w:rsidRDefault="0061748C" w:rsidP="0040241E">
      <w:pPr>
        <w:pStyle w:val="CommentText"/>
      </w:pPr>
      <w:r>
        <w:rPr>
          <w:rStyle w:val="CommentReference"/>
        </w:rPr>
        <w:annotationRef/>
      </w:r>
      <w:r w:rsidR="0040241E">
        <w:t>Does Not Affect Technical Approval:</w:t>
      </w:r>
    </w:p>
    <w:p w14:paraId="4905D835" w14:textId="77777777" w:rsidR="0040241E" w:rsidRDefault="0040241E" w:rsidP="0040241E">
      <w:pPr>
        <w:pStyle w:val="CommentText"/>
      </w:pPr>
    </w:p>
    <w:p w14:paraId="004442DF" w14:textId="77777777" w:rsidR="0040241E" w:rsidRDefault="0040241E" w:rsidP="0040241E">
      <w:pPr>
        <w:pStyle w:val="CommentText"/>
      </w:pPr>
      <w:r>
        <w:t xml:space="preserve">This list was pared down from a DOE process document that was provided to the Grantee to assist in the development of the Grantee’s own procedures. </w:t>
      </w:r>
    </w:p>
    <w:p w14:paraId="55C621C7" w14:textId="77777777" w:rsidR="0040241E" w:rsidRDefault="0040241E" w:rsidP="0040241E">
      <w:pPr>
        <w:pStyle w:val="CommentText"/>
      </w:pPr>
    </w:p>
    <w:p w14:paraId="2D0AB50C" w14:textId="77777777" w:rsidR="0040241E" w:rsidRDefault="0040241E" w:rsidP="0040241E">
      <w:pPr>
        <w:pStyle w:val="CommentText"/>
      </w:pPr>
      <w:r>
        <w:t>The original document contains the minimal information required to comply with regulations and guidance and should not be reduced. We recommend that the Grantee use, at minimum, the footprint requirements as provided in the process document.</w:t>
      </w:r>
    </w:p>
    <w:p w14:paraId="0ED068DA" w14:textId="77777777" w:rsidR="0040241E" w:rsidRDefault="0040241E" w:rsidP="0040241E">
      <w:pPr>
        <w:pStyle w:val="CommentText"/>
      </w:pPr>
    </w:p>
    <w:p w14:paraId="6D8ECF31" w14:textId="77777777" w:rsidR="0040241E" w:rsidRDefault="0040241E" w:rsidP="0040241E">
      <w:pPr>
        <w:pStyle w:val="CommentText"/>
      </w:pPr>
      <w:r>
        <w:t>However, as the removed details will be collected in Forms A and H, which this process indicates TN will use for all LRMF PL projects, this change is not required.</w:t>
      </w:r>
    </w:p>
  </w:comment>
  <w:comment w:id="44" w:author="Ravi Malhotra" w:date="2024-03-15T12:53:00Z" w:initials="RM">
    <w:p w14:paraId="437C6700" w14:textId="77777777" w:rsidR="00080E97" w:rsidRDefault="00080E97" w:rsidP="00B921B9">
      <w:pPr>
        <w:pStyle w:val="CommentText"/>
      </w:pPr>
      <w:r>
        <w:rPr>
          <w:rStyle w:val="CommentReference"/>
        </w:rPr>
        <w:annotationRef/>
      </w:r>
      <w:r>
        <w:t>done</w:t>
      </w:r>
    </w:p>
  </w:comment>
  <w:comment w:id="57" w:author="DOE Reviewer" w:date="2024-02-27T10:44:00Z" w:initials="DR">
    <w:p w14:paraId="3C57820A" w14:textId="2329998C" w:rsidR="00DA5E62" w:rsidRDefault="0040241E" w:rsidP="00DA5E62">
      <w:pPr>
        <w:pStyle w:val="CommentText"/>
      </w:pPr>
      <w:r>
        <w:rPr>
          <w:rStyle w:val="CommentReference"/>
        </w:rPr>
        <w:annotationRef/>
      </w:r>
      <w:r w:rsidR="00DA5E62">
        <w:t>Affects technical approval:</w:t>
      </w:r>
    </w:p>
    <w:p w14:paraId="04247B6D" w14:textId="77777777" w:rsidR="00DA5E62" w:rsidRDefault="00DA5E62" w:rsidP="00DA5E62">
      <w:pPr>
        <w:pStyle w:val="CommentText"/>
      </w:pPr>
    </w:p>
    <w:p w14:paraId="159130D2" w14:textId="77777777" w:rsidR="00DA5E62" w:rsidRDefault="00DA5E62" w:rsidP="00DA5E62">
      <w:pPr>
        <w:pStyle w:val="CommentText"/>
      </w:pPr>
      <w:r>
        <w:t>This refers to a form that is not developed by by DOE as each Grantee has their own inspection procedures and forms which are required as part of the Grantee annual plan submittal. The correct form should be referenced here for TN.</w:t>
      </w:r>
    </w:p>
  </w:comment>
  <w:comment w:id="58" w:author="Ravi Malhotra" w:date="2024-03-15T12:56:00Z" w:initials="RM">
    <w:p w14:paraId="18950D3F" w14:textId="77777777" w:rsidR="00080E97" w:rsidRDefault="00080E97" w:rsidP="005A1D96">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D4EAB3" w15:done="1"/>
  <w15:commentEx w15:paraId="5784303F" w15:paraIdParent="7BD4EAB3" w15:done="1"/>
  <w15:commentEx w15:paraId="4DD43D7A" w15:paraIdParent="7BD4EAB3" w15:done="1"/>
  <w15:commentEx w15:paraId="78EC10EE" w15:paraIdParent="7BD4EAB3" w15:done="1"/>
  <w15:commentEx w15:paraId="1DB9938F" w15:paraIdParent="7BD4EAB3" w15:done="1"/>
  <w15:commentEx w15:paraId="63AC41C8" w15:done="1"/>
  <w15:commentEx w15:paraId="0217736F" w15:paraIdParent="63AC41C8" w15:done="1"/>
  <w15:commentEx w15:paraId="5490DB44" w15:done="1"/>
  <w15:commentEx w15:paraId="1A27D985" w15:paraIdParent="5490DB44" w15:done="1"/>
  <w15:commentEx w15:paraId="5B8781DC" w15:done="1"/>
  <w15:commentEx w15:paraId="13D80C65" w15:paraIdParent="5B8781DC" w15:done="1"/>
  <w15:commentEx w15:paraId="653ADFAE" w15:done="1"/>
  <w15:commentEx w15:paraId="24D86CCC" w15:paraIdParent="653ADFAE" w15:done="1"/>
  <w15:commentEx w15:paraId="1E533493" w15:paraIdParent="653ADFAE" w15:done="1"/>
  <w15:commentEx w15:paraId="500EA0BA" w15:paraIdParent="653ADFAE" w15:done="1"/>
  <w15:commentEx w15:paraId="587C6A89" w15:paraIdParent="653ADFAE" w15:done="1"/>
  <w15:commentEx w15:paraId="6D8ECF31" w15:done="1"/>
  <w15:commentEx w15:paraId="437C6700" w15:paraIdParent="6D8ECF31" w15:done="1"/>
  <w15:commentEx w15:paraId="159130D2" w15:done="1"/>
  <w15:commentEx w15:paraId="18950D3F" w15:paraIdParent="159130D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54B95B" w16cex:dateUtc="2024-02-22T17:58:00Z"/>
  <w16cex:commentExtensible w16cex:durableId="299EBDA7" w16cex:dateUtc="2024-03-15T18:29:00Z"/>
  <w16cex:commentExtensible w16cex:durableId="6E77B944" w16cex:dateUtc="2024-03-27T14:03:00Z"/>
  <w16cex:commentExtensible w16cex:durableId="29BCDA3A" w16cex:dateUtc="2024-04-07T14:39:00Z"/>
  <w16cex:commentExtensible w16cex:durableId="48041DF6" w16cex:dateUtc="2024-04-09T01:17:00Z"/>
  <w16cex:commentExtensible w16cex:durableId="76A89358" w16cex:dateUtc="2024-02-22T18:31:00Z"/>
  <w16cex:commentExtensible w16cex:durableId="299EBE18" w16cex:dateUtc="2024-03-15T18:31:00Z"/>
  <w16cex:commentExtensible w16cex:durableId="31216D3F" w16cex:dateUtc="2024-02-22T18:01:00Z"/>
  <w16cex:commentExtensible w16cex:durableId="299EBE97" w16cex:dateUtc="2024-03-15T18:33:00Z"/>
  <w16cex:commentExtensible w16cex:durableId="71FC8C6E" w16cex:dateUtc="2024-02-22T18:03:00Z"/>
  <w16cex:commentExtensible w16cex:durableId="299EBE80" w16cex:dateUtc="2024-03-15T18:33:00Z"/>
  <w16cex:commentExtensible w16cex:durableId="214C9FB2" w16cex:dateUtc="2024-02-22T18:03:00Z"/>
  <w16cex:commentExtensible w16cex:durableId="299EC29A" w16cex:dateUtc="2024-03-15T18:50:00Z"/>
  <w16cex:commentExtensible w16cex:durableId="6B9B9BE8" w16cex:dateUtc="2024-03-27T14:07:00Z"/>
  <w16cex:commentExtensible w16cex:durableId="29BCDAD4" w16cex:dateUtc="2024-04-07T14:41:00Z"/>
  <w16cex:commentExtensible w16cex:durableId="41CAB1F6" w16cex:dateUtc="2024-04-09T01:18:00Z"/>
  <w16cex:commentExtensible w16cex:durableId="2081EE85" w16cex:dateUtc="2024-02-22T18:12:00Z"/>
  <w16cex:commentExtensible w16cex:durableId="299EC333" w16cex:dateUtc="2024-03-15T18:53:00Z"/>
  <w16cex:commentExtensible w16cex:durableId="7A90BFDA" w16cex:dateUtc="2024-02-27T15:44:00Z"/>
  <w16cex:commentExtensible w16cex:durableId="299EC3EE" w16cex:dateUtc="2024-03-15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D4EAB3" w16cid:durableId="0354B95B"/>
  <w16cid:commentId w16cid:paraId="5784303F" w16cid:durableId="299EBDA7"/>
  <w16cid:commentId w16cid:paraId="4DD43D7A" w16cid:durableId="6E77B944"/>
  <w16cid:commentId w16cid:paraId="78EC10EE" w16cid:durableId="29BCDA3A"/>
  <w16cid:commentId w16cid:paraId="1DB9938F" w16cid:durableId="48041DF6"/>
  <w16cid:commentId w16cid:paraId="63AC41C8" w16cid:durableId="76A89358"/>
  <w16cid:commentId w16cid:paraId="0217736F" w16cid:durableId="299EBE18"/>
  <w16cid:commentId w16cid:paraId="5490DB44" w16cid:durableId="31216D3F"/>
  <w16cid:commentId w16cid:paraId="1A27D985" w16cid:durableId="299EBE97"/>
  <w16cid:commentId w16cid:paraId="5B8781DC" w16cid:durableId="71FC8C6E"/>
  <w16cid:commentId w16cid:paraId="13D80C65" w16cid:durableId="299EBE80"/>
  <w16cid:commentId w16cid:paraId="653ADFAE" w16cid:durableId="214C9FB2"/>
  <w16cid:commentId w16cid:paraId="24D86CCC" w16cid:durableId="299EC29A"/>
  <w16cid:commentId w16cid:paraId="1E533493" w16cid:durableId="6B9B9BE8"/>
  <w16cid:commentId w16cid:paraId="500EA0BA" w16cid:durableId="29BCDAD4"/>
  <w16cid:commentId w16cid:paraId="587C6A89" w16cid:durableId="41CAB1F6"/>
  <w16cid:commentId w16cid:paraId="6D8ECF31" w16cid:durableId="2081EE85"/>
  <w16cid:commentId w16cid:paraId="437C6700" w16cid:durableId="299EC333"/>
  <w16cid:commentId w16cid:paraId="159130D2" w16cid:durableId="7A90BFDA"/>
  <w16cid:commentId w16cid:paraId="18950D3F" w16cid:durableId="299EC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822D" w14:textId="77777777" w:rsidR="00E266FA" w:rsidRDefault="00E266FA" w:rsidP="0048289A">
      <w:pPr>
        <w:spacing w:after="0" w:line="240" w:lineRule="auto"/>
      </w:pPr>
      <w:r>
        <w:separator/>
      </w:r>
    </w:p>
  </w:endnote>
  <w:endnote w:type="continuationSeparator" w:id="0">
    <w:p w14:paraId="7D403BB5" w14:textId="77777777" w:rsidR="00E266FA" w:rsidRDefault="00E266FA" w:rsidP="0048289A">
      <w:pPr>
        <w:spacing w:after="0" w:line="240" w:lineRule="auto"/>
      </w:pPr>
      <w:r>
        <w:continuationSeparator/>
      </w:r>
    </w:p>
  </w:endnote>
  <w:endnote w:type="continuationNotice" w:id="1">
    <w:p w14:paraId="3273A02C" w14:textId="77777777" w:rsidR="00E266FA" w:rsidRDefault="00E26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A5D9" w14:textId="77777777" w:rsidR="0048289A" w:rsidRDefault="0048289A" w:rsidP="0048289A">
    <w:pPr>
      <w:pStyle w:val="Footer"/>
      <w:jc w:val="right"/>
    </w:pPr>
    <w:r w:rsidRPr="0048289A">
      <w:t>Low Rise Multifamily Energy Audit Process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5BD5" w14:textId="77777777" w:rsidR="00E266FA" w:rsidRDefault="00E266FA" w:rsidP="0048289A">
      <w:pPr>
        <w:spacing w:after="0" w:line="240" w:lineRule="auto"/>
      </w:pPr>
      <w:r>
        <w:separator/>
      </w:r>
    </w:p>
  </w:footnote>
  <w:footnote w:type="continuationSeparator" w:id="0">
    <w:p w14:paraId="022A974E" w14:textId="77777777" w:rsidR="00E266FA" w:rsidRDefault="00E266FA" w:rsidP="0048289A">
      <w:pPr>
        <w:spacing w:after="0" w:line="240" w:lineRule="auto"/>
      </w:pPr>
      <w:r>
        <w:continuationSeparator/>
      </w:r>
    </w:p>
  </w:footnote>
  <w:footnote w:type="continuationNotice" w:id="1">
    <w:p w14:paraId="5E1BB4F4" w14:textId="77777777" w:rsidR="00E266FA" w:rsidRDefault="00E266F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b0KpdUtPP3PnDB" int2:id="F5oomMft">
      <int2:state int2:value="Rejected" int2:type="AugLoop_Text_Critique"/>
    </int2:textHash>
    <int2:bookmark int2:bookmarkName="_Int_TNgeJHhE" int2:invalidationBookmarkName="" int2:hashCode="nLttgBolU/ocQ1" int2:id="c83Rehw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B05"/>
    <w:multiLevelType w:val="hybridMultilevel"/>
    <w:tmpl w:val="7E203306"/>
    <w:lvl w:ilvl="0" w:tplc="E03CE9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44CFC"/>
    <w:multiLevelType w:val="hybridMultilevel"/>
    <w:tmpl w:val="500AE2CE"/>
    <w:lvl w:ilvl="0" w:tplc="05E8DADE">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A2D97"/>
    <w:multiLevelType w:val="hybridMultilevel"/>
    <w:tmpl w:val="6FF453E4"/>
    <w:lvl w:ilvl="0" w:tplc="4372C44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F48F3"/>
    <w:multiLevelType w:val="hybridMultilevel"/>
    <w:tmpl w:val="BD2AA48A"/>
    <w:lvl w:ilvl="0" w:tplc="284675DE">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B649F"/>
    <w:multiLevelType w:val="hybridMultilevel"/>
    <w:tmpl w:val="5A9C68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F664CA"/>
    <w:multiLevelType w:val="hybridMultilevel"/>
    <w:tmpl w:val="E6B082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D162F6"/>
    <w:multiLevelType w:val="hybridMultilevel"/>
    <w:tmpl w:val="A1A84596"/>
    <w:lvl w:ilvl="0" w:tplc="CE94A24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F0B78"/>
    <w:multiLevelType w:val="hybridMultilevel"/>
    <w:tmpl w:val="5A9C6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E3738"/>
    <w:multiLevelType w:val="hybridMultilevel"/>
    <w:tmpl w:val="9DE87ECA"/>
    <w:lvl w:ilvl="0" w:tplc="FFFFFFF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BCD4C74"/>
    <w:multiLevelType w:val="hybridMultilevel"/>
    <w:tmpl w:val="90FA3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B37AF"/>
    <w:multiLevelType w:val="hybridMultilevel"/>
    <w:tmpl w:val="6AA82DEE"/>
    <w:lvl w:ilvl="0" w:tplc="589234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36F27"/>
    <w:multiLevelType w:val="hybridMultilevel"/>
    <w:tmpl w:val="1EE0CC5C"/>
    <w:lvl w:ilvl="0" w:tplc="04090019">
      <w:start w:val="1"/>
      <w:numFmt w:val="lowerLetter"/>
      <w:lvlText w:val="%1."/>
      <w:lvlJc w:val="left"/>
      <w:pPr>
        <w:ind w:left="144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1E00FC"/>
    <w:multiLevelType w:val="hybridMultilevel"/>
    <w:tmpl w:val="E6B082E0"/>
    <w:lvl w:ilvl="0" w:tplc="AEAA5F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4619D2"/>
    <w:multiLevelType w:val="hybridMultilevel"/>
    <w:tmpl w:val="18ACC4C6"/>
    <w:lvl w:ilvl="0" w:tplc="6B16AC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3215422">
    <w:abstractNumId w:val="10"/>
  </w:num>
  <w:num w:numId="2" w16cid:durableId="1641958798">
    <w:abstractNumId w:val="9"/>
  </w:num>
  <w:num w:numId="3" w16cid:durableId="1705056112">
    <w:abstractNumId w:val="7"/>
  </w:num>
  <w:num w:numId="4" w16cid:durableId="1516962027">
    <w:abstractNumId w:val="12"/>
  </w:num>
  <w:num w:numId="5" w16cid:durableId="647515056">
    <w:abstractNumId w:val="0"/>
  </w:num>
  <w:num w:numId="6" w16cid:durableId="1717271480">
    <w:abstractNumId w:val="13"/>
  </w:num>
  <w:num w:numId="7" w16cid:durableId="1083800181">
    <w:abstractNumId w:val="2"/>
  </w:num>
  <w:num w:numId="8" w16cid:durableId="1254897755">
    <w:abstractNumId w:val="6"/>
  </w:num>
  <w:num w:numId="9" w16cid:durableId="1116291793">
    <w:abstractNumId w:val="11"/>
  </w:num>
  <w:num w:numId="10" w16cid:durableId="883518074">
    <w:abstractNumId w:val="1"/>
  </w:num>
  <w:num w:numId="11" w16cid:durableId="610206142">
    <w:abstractNumId w:val="3"/>
  </w:num>
  <w:num w:numId="12" w16cid:durableId="1155873673">
    <w:abstractNumId w:val="4"/>
  </w:num>
  <w:num w:numId="13" w16cid:durableId="1344866342">
    <w:abstractNumId w:val="8"/>
  </w:num>
  <w:num w:numId="14" w16cid:durableId="672072173">
    <w:abstractNumId w:val="5"/>
  </w:num>
  <w:num w:numId="15" w16cid:durableId="1194463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E Reviewer">
    <w15:presenceInfo w15:providerId="None" w15:userId="DOE Reviewer"/>
  </w15:person>
  <w15:person w15:author="Ravi Malhotra">
    <w15:presenceInfo w15:providerId="AD" w15:userId="S::ravim@icastusa.org::b9abc26c-f823-4eda-b497-2a1431adc3d4"/>
  </w15:person>
  <w15:person w15:author="Aaron Walker">
    <w15:presenceInfo w15:providerId="AD" w15:userId="S::AWalker@thda.org::4a0cc53e-2b90-4b29-b3b5-8573d8f3b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CF"/>
    <w:rsid w:val="000340CB"/>
    <w:rsid w:val="000413C0"/>
    <w:rsid w:val="00051408"/>
    <w:rsid w:val="0005233D"/>
    <w:rsid w:val="00074233"/>
    <w:rsid w:val="00075B8D"/>
    <w:rsid w:val="000767BA"/>
    <w:rsid w:val="00080E97"/>
    <w:rsid w:val="00082EFC"/>
    <w:rsid w:val="000A3D82"/>
    <w:rsid w:val="000C2EE7"/>
    <w:rsid w:val="000F6DDD"/>
    <w:rsid w:val="00113D1D"/>
    <w:rsid w:val="001162F7"/>
    <w:rsid w:val="00124081"/>
    <w:rsid w:val="001240CE"/>
    <w:rsid w:val="001317BA"/>
    <w:rsid w:val="00132484"/>
    <w:rsid w:val="00134850"/>
    <w:rsid w:val="0014097D"/>
    <w:rsid w:val="0015403D"/>
    <w:rsid w:val="0015497E"/>
    <w:rsid w:val="00164A3E"/>
    <w:rsid w:val="00167E19"/>
    <w:rsid w:val="0017019A"/>
    <w:rsid w:val="001910B0"/>
    <w:rsid w:val="00195F15"/>
    <w:rsid w:val="001A4F23"/>
    <w:rsid w:val="001C2305"/>
    <w:rsid w:val="001C394A"/>
    <w:rsid w:val="001C7A67"/>
    <w:rsid w:val="001E1A7C"/>
    <w:rsid w:val="001F37B2"/>
    <w:rsid w:val="0020615B"/>
    <w:rsid w:val="002100FC"/>
    <w:rsid w:val="00213B7F"/>
    <w:rsid w:val="002239DC"/>
    <w:rsid w:val="00226A71"/>
    <w:rsid w:val="00231607"/>
    <w:rsid w:val="00231FE3"/>
    <w:rsid w:val="00252EA7"/>
    <w:rsid w:val="00274BB2"/>
    <w:rsid w:val="00275F8D"/>
    <w:rsid w:val="002B0D50"/>
    <w:rsid w:val="002B458D"/>
    <w:rsid w:val="002C0AF0"/>
    <w:rsid w:val="002E721C"/>
    <w:rsid w:val="002F75C9"/>
    <w:rsid w:val="00305D05"/>
    <w:rsid w:val="00311BC7"/>
    <w:rsid w:val="003153EF"/>
    <w:rsid w:val="003242AD"/>
    <w:rsid w:val="0034029B"/>
    <w:rsid w:val="0034117E"/>
    <w:rsid w:val="00343B5D"/>
    <w:rsid w:val="0034BCCE"/>
    <w:rsid w:val="00354C7D"/>
    <w:rsid w:val="003560ED"/>
    <w:rsid w:val="00357256"/>
    <w:rsid w:val="00373ABC"/>
    <w:rsid w:val="003867FD"/>
    <w:rsid w:val="00387126"/>
    <w:rsid w:val="00390C05"/>
    <w:rsid w:val="003A6A70"/>
    <w:rsid w:val="003A6FF9"/>
    <w:rsid w:val="003B6451"/>
    <w:rsid w:val="003C70D4"/>
    <w:rsid w:val="003D6BF8"/>
    <w:rsid w:val="003E2D2F"/>
    <w:rsid w:val="003F3464"/>
    <w:rsid w:val="003F7970"/>
    <w:rsid w:val="003F7CD2"/>
    <w:rsid w:val="0040241E"/>
    <w:rsid w:val="00411BFF"/>
    <w:rsid w:val="00414A0C"/>
    <w:rsid w:val="0041691F"/>
    <w:rsid w:val="00426038"/>
    <w:rsid w:val="00430BF8"/>
    <w:rsid w:val="00441C83"/>
    <w:rsid w:val="00443889"/>
    <w:rsid w:val="004448A5"/>
    <w:rsid w:val="00466D64"/>
    <w:rsid w:val="00480568"/>
    <w:rsid w:val="0048228A"/>
    <w:rsid w:val="0048289A"/>
    <w:rsid w:val="00483228"/>
    <w:rsid w:val="00484B7A"/>
    <w:rsid w:val="004B2F2D"/>
    <w:rsid w:val="004C469D"/>
    <w:rsid w:val="004C4B86"/>
    <w:rsid w:val="004D46B9"/>
    <w:rsid w:val="004E1D1E"/>
    <w:rsid w:val="004F0D2F"/>
    <w:rsid w:val="004F0EAA"/>
    <w:rsid w:val="004F44DF"/>
    <w:rsid w:val="004F7A20"/>
    <w:rsid w:val="005030B3"/>
    <w:rsid w:val="00505E35"/>
    <w:rsid w:val="0051128E"/>
    <w:rsid w:val="005225B0"/>
    <w:rsid w:val="00524D06"/>
    <w:rsid w:val="005330A6"/>
    <w:rsid w:val="00540C49"/>
    <w:rsid w:val="005507E2"/>
    <w:rsid w:val="005601FE"/>
    <w:rsid w:val="00573DEB"/>
    <w:rsid w:val="00580273"/>
    <w:rsid w:val="00590C51"/>
    <w:rsid w:val="005A30A1"/>
    <w:rsid w:val="005A53CB"/>
    <w:rsid w:val="005A79FA"/>
    <w:rsid w:val="005B6734"/>
    <w:rsid w:val="005B6BA1"/>
    <w:rsid w:val="005B7CDC"/>
    <w:rsid w:val="005C7EDE"/>
    <w:rsid w:val="005D03EF"/>
    <w:rsid w:val="005D1C82"/>
    <w:rsid w:val="005D3875"/>
    <w:rsid w:val="005D679C"/>
    <w:rsid w:val="005D67C0"/>
    <w:rsid w:val="005F1D7A"/>
    <w:rsid w:val="006029F0"/>
    <w:rsid w:val="00602CAB"/>
    <w:rsid w:val="00614963"/>
    <w:rsid w:val="00615D19"/>
    <w:rsid w:val="0061748C"/>
    <w:rsid w:val="00621AFA"/>
    <w:rsid w:val="006279E1"/>
    <w:rsid w:val="006379B7"/>
    <w:rsid w:val="0064242F"/>
    <w:rsid w:val="00652FE0"/>
    <w:rsid w:val="00673700"/>
    <w:rsid w:val="00673875"/>
    <w:rsid w:val="006A65DA"/>
    <w:rsid w:val="006C1565"/>
    <w:rsid w:val="006E1ACB"/>
    <w:rsid w:val="006E4B1F"/>
    <w:rsid w:val="00701BFE"/>
    <w:rsid w:val="007026C0"/>
    <w:rsid w:val="00723F35"/>
    <w:rsid w:val="00733362"/>
    <w:rsid w:val="00733D1A"/>
    <w:rsid w:val="0073522B"/>
    <w:rsid w:val="00743956"/>
    <w:rsid w:val="007478CB"/>
    <w:rsid w:val="00753CB7"/>
    <w:rsid w:val="007571D2"/>
    <w:rsid w:val="00765657"/>
    <w:rsid w:val="00770126"/>
    <w:rsid w:val="00776E84"/>
    <w:rsid w:val="00791C4D"/>
    <w:rsid w:val="007941CE"/>
    <w:rsid w:val="00794FCF"/>
    <w:rsid w:val="007B6754"/>
    <w:rsid w:val="007C1AC7"/>
    <w:rsid w:val="007C2BFB"/>
    <w:rsid w:val="007C74B5"/>
    <w:rsid w:val="007D25FC"/>
    <w:rsid w:val="007E0746"/>
    <w:rsid w:val="007E7CE0"/>
    <w:rsid w:val="007F6B13"/>
    <w:rsid w:val="008158BD"/>
    <w:rsid w:val="0082406F"/>
    <w:rsid w:val="00836EFA"/>
    <w:rsid w:val="00841847"/>
    <w:rsid w:val="00871488"/>
    <w:rsid w:val="00873D7D"/>
    <w:rsid w:val="008B141B"/>
    <w:rsid w:val="008B492D"/>
    <w:rsid w:val="008B5BC4"/>
    <w:rsid w:val="008C1033"/>
    <w:rsid w:val="008C25F5"/>
    <w:rsid w:val="008D11CF"/>
    <w:rsid w:val="008D5762"/>
    <w:rsid w:val="008D6920"/>
    <w:rsid w:val="008F6E1B"/>
    <w:rsid w:val="0090209B"/>
    <w:rsid w:val="00907BA9"/>
    <w:rsid w:val="00933252"/>
    <w:rsid w:val="009417C2"/>
    <w:rsid w:val="009450AE"/>
    <w:rsid w:val="00946161"/>
    <w:rsid w:val="00952D5C"/>
    <w:rsid w:val="00955EDA"/>
    <w:rsid w:val="00972FFB"/>
    <w:rsid w:val="00984A1D"/>
    <w:rsid w:val="0098648E"/>
    <w:rsid w:val="00990955"/>
    <w:rsid w:val="009A552E"/>
    <w:rsid w:val="009B4C2C"/>
    <w:rsid w:val="009C428A"/>
    <w:rsid w:val="009C637F"/>
    <w:rsid w:val="009E3695"/>
    <w:rsid w:val="009F16E3"/>
    <w:rsid w:val="00A02285"/>
    <w:rsid w:val="00A07068"/>
    <w:rsid w:val="00A208E3"/>
    <w:rsid w:val="00A22F03"/>
    <w:rsid w:val="00A33B7E"/>
    <w:rsid w:val="00A36491"/>
    <w:rsid w:val="00A56566"/>
    <w:rsid w:val="00A65A91"/>
    <w:rsid w:val="00A7091A"/>
    <w:rsid w:val="00A73D22"/>
    <w:rsid w:val="00A83C88"/>
    <w:rsid w:val="00A90602"/>
    <w:rsid w:val="00AA0108"/>
    <w:rsid w:val="00AA04B3"/>
    <w:rsid w:val="00AB4369"/>
    <w:rsid w:val="00AC356D"/>
    <w:rsid w:val="00AC6476"/>
    <w:rsid w:val="00AC7619"/>
    <w:rsid w:val="00AD04FB"/>
    <w:rsid w:val="00AF06D3"/>
    <w:rsid w:val="00B10E42"/>
    <w:rsid w:val="00B226E8"/>
    <w:rsid w:val="00B32090"/>
    <w:rsid w:val="00B32423"/>
    <w:rsid w:val="00B63166"/>
    <w:rsid w:val="00B72748"/>
    <w:rsid w:val="00BA1D13"/>
    <w:rsid w:val="00BA7112"/>
    <w:rsid w:val="00BD6618"/>
    <w:rsid w:val="00BF7B37"/>
    <w:rsid w:val="00C00648"/>
    <w:rsid w:val="00C01284"/>
    <w:rsid w:val="00C128B5"/>
    <w:rsid w:val="00C22367"/>
    <w:rsid w:val="00C22868"/>
    <w:rsid w:val="00C43C55"/>
    <w:rsid w:val="00C46DB2"/>
    <w:rsid w:val="00C5239F"/>
    <w:rsid w:val="00C626F0"/>
    <w:rsid w:val="00C72EAD"/>
    <w:rsid w:val="00CA7CF3"/>
    <w:rsid w:val="00CB2023"/>
    <w:rsid w:val="00CB5F17"/>
    <w:rsid w:val="00CC7AD7"/>
    <w:rsid w:val="00CD6D90"/>
    <w:rsid w:val="00CF2B6B"/>
    <w:rsid w:val="00CF7D90"/>
    <w:rsid w:val="00D01F64"/>
    <w:rsid w:val="00D23D5B"/>
    <w:rsid w:val="00D27105"/>
    <w:rsid w:val="00D27E65"/>
    <w:rsid w:val="00D51E5D"/>
    <w:rsid w:val="00D541AE"/>
    <w:rsid w:val="00D62FCC"/>
    <w:rsid w:val="00D67515"/>
    <w:rsid w:val="00D83B49"/>
    <w:rsid w:val="00DA5834"/>
    <w:rsid w:val="00DA5E62"/>
    <w:rsid w:val="00DD7B16"/>
    <w:rsid w:val="00DE4AEA"/>
    <w:rsid w:val="00DE7FC3"/>
    <w:rsid w:val="00DF4E99"/>
    <w:rsid w:val="00E0551B"/>
    <w:rsid w:val="00E25AA0"/>
    <w:rsid w:val="00E266FA"/>
    <w:rsid w:val="00E30507"/>
    <w:rsid w:val="00E341FC"/>
    <w:rsid w:val="00E37DFA"/>
    <w:rsid w:val="00E446F8"/>
    <w:rsid w:val="00E45921"/>
    <w:rsid w:val="00E6008F"/>
    <w:rsid w:val="00E61660"/>
    <w:rsid w:val="00E62367"/>
    <w:rsid w:val="00E627CF"/>
    <w:rsid w:val="00E719C7"/>
    <w:rsid w:val="00E820AD"/>
    <w:rsid w:val="00E82CF5"/>
    <w:rsid w:val="00E90BB4"/>
    <w:rsid w:val="00E96F39"/>
    <w:rsid w:val="00EA2708"/>
    <w:rsid w:val="00EA7649"/>
    <w:rsid w:val="00EB38BF"/>
    <w:rsid w:val="00EB7FCD"/>
    <w:rsid w:val="00ED7F0F"/>
    <w:rsid w:val="00EE75C0"/>
    <w:rsid w:val="00EF0457"/>
    <w:rsid w:val="00EF25CF"/>
    <w:rsid w:val="00EF4FA8"/>
    <w:rsid w:val="00F00D2A"/>
    <w:rsid w:val="00F055F9"/>
    <w:rsid w:val="00F25544"/>
    <w:rsid w:val="00F51596"/>
    <w:rsid w:val="00F539CF"/>
    <w:rsid w:val="00F623C7"/>
    <w:rsid w:val="00F62DE2"/>
    <w:rsid w:val="00F709D8"/>
    <w:rsid w:val="00F74ADA"/>
    <w:rsid w:val="00F8189D"/>
    <w:rsid w:val="00F97440"/>
    <w:rsid w:val="00FA52DD"/>
    <w:rsid w:val="00FC2B1F"/>
    <w:rsid w:val="00FD3034"/>
    <w:rsid w:val="00FF0562"/>
    <w:rsid w:val="00FF06E7"/>
    <w:rsid w:val="00FF2515"/>
    <w:rsid w:val="011B489B"/>
    <w:rsid w:val="0121E98A"/>
    <w:rsid w:val="030D5C50"/>
    <w:rsid w:val="03CD7399"/>
    <w:rsid w:val="05F4931C"/>
    <w:rsid w:val="07054EAA"/>
    <w:rsid w:val="074F6E9C"/>
    <w:rsid w:val="07CDEDC7"/>
    <w:rsid w:val="08165A9C"/>
    <w:rsid w:val="095C8065"/>
    <w:rsid w:val="098D9902"/>
    <w:rsid w:val="0D5F532D"/>
    <w:rsid w:val="0DF680FF"/>
    <w:rsid w:val="0E4F13C9"/>
    <w:rsid w:val="0F318A7D"/>
    <w:rsid w:val="0F58BA21"/>
    <w:rsid w:val="0FF8C397"/>
    <w:rsid w:val="11CB4AEB"/>
    <w:rsid w:val="11CE0029"/>
    <w:rsid w:val="1448BD2D"/>
    <w:rsid w:val="162588FD"/>
    <w:rsid w:val="173F659F"/>
    <w:rsid w:val="19CCAC65"/>
    <w:rsid w:val="1A1EDF82"/>
    <w:rsid w:val="1A240A29"/>
    <w:rsid w:val="1C1E8C1A"/>
    <w:rsid w:val="1DD3E730"/>
    <w:rsid w:val="1E585065"/>
    <w:rsid w:val="1EF8A11D"/>
    <w:rsid w:val="1F20AFE8"/>
    <w:rsid w:val="1F91CF41"/>
    <w:rsid w:val="2082E523"/>
    <w:rsid w:val="20BC8049"/>
    <w:rsid w:val="20CC09B7"/>
    <w:rsid w:val="23638E95"/>
    <w:rsid w:val="24075406"/>
    <w:rsid w:val="259AD927"/>
    <w:rsid w:val="27B4A4E7"/>
    <w:rsid w:val="297A2B55"/>
    <w:rsid w:val="2B62C50C"/>
    <w:rsid w:val="2C7DD332"/>
    <w:rsid w:val="2DE46B57"/>
    <w:rsid w:val="2DFB906A"/>
    <w:rsid w:val="3121D70E"/>
    <w:rsid w:val="32CFC3F6"/>
    <w:rsid w:val="350FAACD"/>
    <w:rsid w:val="35750B04"/>
    <w:rsid w:val="3628C943"/>
    <w:rsid w:val="36400F85"/>
    <w:rsid w:val="3B2DC615"/>
    <w:rsid w:val="3D85C2A1"/>
    <w:rsid w:val="3F2BDC02"/>
    <w:rsid w:val="3FEFCA93"/>
    <w:rsid w:val="40350E43"/>
    <w:rsid w:val="41B61913"/>
    <w:rsid w:val="4224E013"/>
    <w:rsid w:val="42FA05AB"/>
    <w:rsid w:val="44AE0E73"/>
    <w:rsid w:val="489B054B"/>
    <w:rsid w:val="48F35BEC"/>
    <w:rsid w:val="4977FE79"/>
    <w:rsid w:val="4A914D06"/>
    <w:rsid w:val="4B72323F"/>
    <w:rsid w:val="4D23126E"/>
    <w:rsid w:val="4F6724AA"/>
    <w:rsid w:val="515651AD"/>
    <w:rsid w:val="52C32E9F"/>
    <w:rsid w:val="54CBC94E"/>
    <w:rsid w:val="54F51609"/>
    <w:rsid w:val="55A62BC6"/>
    <w:rsid w:val="5670B362"/>
    <w:rsid w:val="56D65C79"/>
    <w:rsid w:val="57445C89"/>
    <w:rsid w:val="577A4896"/>
    <w:rsid w:val="57D95986"/>
    <w:rsid w:val="59ECBAD8"/>
    <w:rsid w:val="5A24F4DA"/>
    <w:rsid w:val="5AC99018"/>
    <w:rsid w:val="5AF4B50A"/>
    <w:rsid w:val="5B7463C2"/>
    <w:rsid w:val="5BC9DF22"/>
    <w:rsid w:val="5C892D2E"/>
    <w:rsid w:val="5D2EFF23"/>
    <w:rsid w:val="5DC518C8"/>
    <w:rsid w:val="5ECAA273"/>
    <w:rsid w:val="610E4A1C"/>
    <w:rsid w:val="61BADFB8"/>
    <w:rsid w:val="61BB75D0"/>
    <w:rsid w:val="62212CB1"/>
    <w:rsid w:val="62E7832A"/>
    <w:rsid w:val="63E8035C"/>
    <w:rsid w:val="643FA341"/>
    <w:rsid w:val="645F4610"/>
    <w:rsid w:val="64A881F3"/>
    <w:rsid w:val="66BA4752"/>
    <w:rsid w:val="67251A4F"/>
    <w:rsid w:val="6B7EFE14"/>
    <w:rsid w:val="6C0BC24B"/>
    <w:rsid w:val="6C7B4323"/>
    <w:rsid w:val="708DCC68"/>
    <w:rsid w:val="70AAF5BD"/>
    <w:rsid w:val="70B7AA65"/>
    <w:rsid w:val="7130D395"/>
    <w:rsid w:val="72335A10"/>
    <w:rsid w:val="72571A6E"/>
    <w:rsid w:val="73953987"/>
    <w:rsid w:val="76119B18"/>
    <w:rsid w:val="774E2170"/>
    <w:rsid w:val="785753F3"/>
    <w:rsid w:val="78980E3E"/>
    <w:rsid w:val="78BBA5ED"/>
    <w:rsid w:val="78C8F966"/>
    <w:rsid w:val="7AAC8370"/>
    <w:rsid w:val="7AD47E30"/>
    <w:rsid w:val="7B0EB82B"/>
    <w:rsid w:val="7B9173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BAF9"/>
  <w15:chartTrackingRefBased/>
  <w15:docId w15:val="{BB16078E-CD99-4198-8620-DAA6204A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5CF"/>
  </w:style>
  <w:style w:type="paragraph" w:styleId="Heading1">
    <w:name w:val="heading 1"/>
    <w:basedOn w:val="Normal"/>
    <w:next w:val="Normal"/>
    <w:link w:val="Heading1Char"/>
    <w:uiPriority w:val="9"/>
    <w:qFormat/>
    <w:rsid w:val="00167E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67E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67E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5CF"/>
    <w:pPr>
      <w:ind w:left="720"/>
      <w:contextualSpacing/>
    </w:pPr>
  </w:style>
  <w:style w:type="character" w:customStyle="1" w:styleId="Heading1Char">
    <w:name w:val="Heading 1 Char"/>
    <w:basedOn w:val="DefaultParagraphFont"/>
    <w:link w:val="Heading1"/>
    <w:uiPriority w:val="9"/>
    <w:rsid w:val="00167E1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43B5D"/>
    <w:rPr>
      <w:color w:val="0000FF" w:themeColor="hyperlink"/>
      <w:u w:val="single"/>
    </w:rPr>
  </w:style>
  <w:style w:type="character" w:customStyle="1" w:styleId="UnresolvedMention1">
    <w:name w:val="Unresolved Mention1"/>
    <w:basedOn w:val="DefaultParagraphFont"/>
    <w:uiPriority w:val="99"/>
    <w:semiHidden/>
    <w:unhideWhenUsed/>
    <w:rsid w:val="00343B5D"/>
    <w:rPr>
      <w:color w:val="605E5C"/>
      <w:shd w:val="clear" w:color="auto" w:fill="E1DFDD"/>
    </w:rPr>
  </w:style>
  <w:style w:type="character" w:styleId="FollowedHyperlink">
    <w:name w:val="FollowedHyperlink"/>
    <w:basedOn w:val="DefaultParagraphFont"/>
    <w:uiPriority w:val="99"/>
    <w:semiHidden/>
    <w:unhideWhenUsed/>
    <w:rsid w:val="007C2BFB"/>
    <w:rPr>
      <w:color w:val="800080" w:themeColor="followedHyperlink"/>
      <w:u w:val="single"/>
    </w:rPr>
  </w:style>
  <w:style w:type="paragraph" w:styleId="Title">
    <w:name w:val="Title"/>
    <w:basedOn w:val="Normal"/>
    <w:next w:val="Normal"/>
    <w:link w:val="TitleChar"/>
    <w:uiPriority w:val="10"/>
    <w:qFormat/>
    <w:rsid w:val="004822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28A"/>
    <w:rPr>
      <w:rFonts w:asciiTheme="majorHAnsi" w:eastAsiaTheme="majorEastAsia" w:hAnsiTheme="majorHAnsi" w:cstheme="majorBidi"/>
      <w:spacing w:val="-10"/>
      <w:kern w:val="28"/>
      <w:sz w:val="56"/>
      <w:szCs w:val="56"/>
    </w:rPr>
  </w:style>
  <w:style w:type="paragraph" w:styleId="NoSpacing">
    <w:name w:val="No Spacing"/>
    <w:uiPriority w:val="1"/>
    <w:qFormat/>
    <w:rsid w:val="00484B7A"/>
    <w:pPr>
      <w:spacing w:after="0" w:line="240" w:lineRule="auto"/>
    </w:pPr>
  </w:style>
  <w:style w:type="character" w:styleId="CommentReference">
    <w:name w:val="annotation reference"/>
    <w:basedOn w:val="DefaultParagraphFont"/>
    <w:uiPriority w:val="99"/>
    <w:semiHidden/>
    <w:unhideWhenUsed/>
    <w:rsid w:val="00ED7F0F"/>
    <w:rPr>
      <w:sz w:val="16"/>
      <w:szCs w:val="16"/>
    </w:rPr>
  </w:style>
  <w:style w:type="paragraph" w:styleId="CommentText">
    <w:name w:val="annotation text"/>
    <w:basedOn w:val="Normal"/>
    <w:link w:val="CommentTextChar"/>
    <w:uiPriority w:val="99"/>
    <w:unhideWhenUsed/>
    <w:rsid w:val="00ED7F0F"/>
    <w:pPr>
      <w:spacing w:line="240" w:lineRule="auto"/>
    </w:pPr>
    <w:rPr>
      <w:sz w:val="20"/>
      <w:szCs w:val="20"/>
    </w:rPr>
  </w:style>
  <w:style w:type="character" w:customStyle="1" w:styleId="CommentTextChar">
    <w:name w:val="Comment Text Char"/>
    <w:basedOn w:val="DefaultParagraphFont"/>
    <w:link w:val="CommentText"/>
    <w:uiPriority w:val="99"/>
    <w:rsid w:val="00ED7F0F"/>
    <w:rPr>
      <w:sz w:val="20"/>
      <w:szCs w:val="20"/>
    </w:rPr>
  </w:style>
  <w:style w:type="paragraph" w:styleId="CommentSubject">
    <w:name w:val="annotation subject"/>
    <w:basedOn w:val="CommentText"/>
    <w:next w:val="CommentText"/>
    <w:link w:val="CommentSubjectChar"/>
    <w:uiPriority w:val="99"/>
    <w:semiHidden/>
    <w:unhideWhenUsed/>
    <w:rsid w:val="00ED7F0F"/>
    <w:rPr>
      <w:b/>
      <w:bCs/>
    </w:rPr>
  </w:style>
  <w:style w:type="character" w:customStyle="1" w:styleId="CommentSubjectChar">
    <w:name w:val="Comment Subject Char"/>
    <w:basedOn w:val="CommentTextChar"/>
    <w:link w:val="CommentSubject"/>
    <w:uiPriority w:val="99"/>
    <w:semiHidden/>
    <w:rsid w:val="00ED7F0F"/>
    <w:rPr>
      <w:b/>
      <w:bCs/>
      <w:sz w:val="20"/>
      <w:szCs w:val="20"/>
    </w:rPr>
  </w:style>
  <w:style w:type="paragraph" w:styleId="Revision">
    <w:name w:val="Revision"/>
    <w:hidden/>
    <w:uiPriority w:val="99"/>
    <w:semiHidden/>
    <w:rsid w:val="008C25F5"/>
    <w:pPr>
      <w:spacing w:after="0" w:line="240" w:lineRule="auto"/>
    </w:pPr>
  </w:style>
  <w:style w:type="character" w:styleId="IntenseEmphasis">
    <w:name w:val="Intense Emphasis"/>
    <w:basedOn w:val="DefaultParagraphFont"/>
    <w:uiPriority w:val="21"/>
    <w:qFormat/>
    <w:rsid w:val="008D5762"/>
    <w:rPr>
      <w:i/>
      <w:iCs/>
      <w:color w:val="4F81BD" w:themeColor="accent1"/>
    </w:rPr>
  </w:style>
  <w:style w:type="character" w:customStyle="1" w:styleId="Heading2Char">
    <w:name w:val="Heading 2 Char"/>
    <w:basedOn w:val="DefaultParagraphFont"/>
    <w:link w:val="Heading2"/>
    <w:uiPriority w:val="9"/>
    <w:rsid w:val="00167E19"/>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5507E2"/>
    <w:pPr>
      <w:spacing w:line="259" w:lineRule="auto"/>
      <w:outlineLvl w:val="9"/>
    </w:pPr>
  </w:style>
  <w:style w:type="paragraph" w:styleId="TOC1">
    <w:name w:val="toc 1"/>
    <w:basedOn w:val="Normal"/>
    <w:next w:val="Normal"/>
    <w:autoRedefine/>
    <w:uiPriority w:val="39"/>
    <w:unhideWhenUsed/>
    <w:rsid w:val="00794FCF"/>
    <w:pPr>
      <w:tabs>
        <w:tab w:val="right" w:leader="dot" w:pos="10790"/>
      </w:tabs>
      <w:spacing w:after="100"/>
    </w:pPr>
  </w:style>
  <w:style w:type="paragraph" w:styleId="TOC2">
    <w:name w:val="toc 2"/>
    <w:basedOn w:val="Normal"/>
    <w:next w:val="Normal"/>
    <w:autoRedefine/>
    <w:uiPriority w:val="39"/>
    <w:unhideWhenUsed/>
    <w:rsid w:val="00231607"/>
    <w:pPr>
      <w:spacing w:after="100"/>
      <w:ind w:left="220"/>
    </w:pPr>
  </w:style>
  <w:style w:type="character" w:customStyle="1" w:styleId="Heading3Char">
    <w:name w:val="Heading 3 Char"/>
    <w:basedOn w:val="DefaultParagraphFont"/>
    <w:link w:val="Heading3"/>
    <w:uiPriority w:val="9"/>
    <w:rsid w:val="00167E1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443889"/>
    <w:pPr>
      <w:spacing w:after="100"/>
      <w:ind w:left="440"/>
    </w:pPr>
  </w:style>
  <w:style w:type="paragraph" w:styleId="Header">
    <w:name w:val="header"/>
    <w:basedOn w:val="Normal"/>
    <w:link w:val="HeaderChar"/>
    <w:uiPriority w:val="99"/>
    <w:unhideWhenUsed/>
    <w:rsid w:val="00482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89A"/>
  </w:style>
  <w:style w:type="paragraph" w:styleId="Footer">
    <w:name w:val="footer"/>
    <w:basedOn w:val="Normal"/>
    <w:link w:val="FooterChar"/>
    <w:uiPriority w:val="99"/>
    <w:unhideWhenUsed/>
    <w:rsid w:val="0048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89A"/>
  </w:style>
  <w:style w:type="character" w:customStyle="1" w:styleId="cf01">
    <w:name w:val="cf01"/>
    <w:basedOn w:val="DefaultParagraphFont"/>
    <w:rsid w:val="00B226E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708771">
      <w:bodyDiv w:val="1"/>
      <w:marLeft w:val="0"/>
      <w:marRight w:val="0"/>
      <w:marTop w:val="0"/>
      <w:marBottom w:val="0"/>
      <w:divBdr>
        <w:top w:val="none" w:sz="0" w:space="0" w:color="auto"/>
        <w:left w:val="none" w:sz="0" w:space="0" w:color="auto"/>
        <w:bottom w:val="none" w:sz="0" w:space="0" w:color="auto"/>
        <w:right w:val="none" w:sz="0" w:space="0" w:color="auto"/>
      </w:divBdr>
    </w:div>
    <w:div w:id="822739971">
      <w:bodyDiv w:val="1"/>
      <w:marLeft w:val="0"/>
      <w:marRight w:val="0"/>
      <w:marTop w:val="0"/>
      <w:marBottom w:val="0"/>
      <w:divBdr>
        <w:top w:val="none" w:sz="0" w:space="0" w:color="auto"/>
        <w:left w:val="none" w:sz="0" w:space="0" w:color="auto"/>
        <w:bottom w:val="none" w:sz="0" w:space="0" w:color="auto"/>
        <w:right w:val="none" w:sz="0" w:space="0" w:color="auto"/>
      </w:divBdr>
    </w:div>
    <w:div w:id="1051734924">
      <w:bodyDiv w:val="1"/>
      <w:marLeft w:val="0"/>
      <w:marRight w:val="0"/>
      <w:marTop w:val="0"/>
      <w:marBottom w:val="0"/>
      <w:divBdr>
        <w:top w:val="none" w:sz="0" w:space="0" w:color="auto"/>
        <w:left w:val="none" w:sz="0" w:space="0" w:color="auto"/>
        <w:bottom w:val="none" w:sz="0" w:space="0" w:color="auto"/>
        <w:right w:val="none" w:sz="0" w:space="0" w:color="auto"/>
      </w:divBdr>
    </w:div>
    <w:div w:id="1315601162">
      <w:bodyDiv w:val="1"/>
      <w:marLeft w:val="0"/>
      <w:marRight w:val="0"/>
      <w:marTop w:val="0"/>
      <w:marBottom w:val="0"/>
      <w:divBdr>
        <w:top w:val="none" w:sz="0" w:space="0" w:color="auto"/>
        <w:left w:val="none" w:sz="0" w:space="0" w:color="auto"/>
        <w:bottom w:val="none" w:sz="0" w:space="0" w:color="auto"/>
        <w:right w:val="none" w:sz="0" w:space="0" w:color="auto"/>
      </w:divBdr>
    </w:div>
    <w:div w:id="1764304802">
      <w:bodyDiv w:val="1"/>
      <w:marLeft w:val="0"/>
      <w:marRight w:val="0"/>
      <w:marTop w:val="0"/>
      <w:marBottom w:val="0"/>
      <w:divBdr>
        <w:top w:val="none" w:sz="0" w:space="0" w:color="auto"/>
        <w:left w:val="none" w:sz="0" w:space="0" w:color="auto"/>
        <w:bottom w:val="none" w:sz="0" w:space="0" w:color="auto"/>
        <w:right w:val="none" w:sz="0" w:space="0" w:color="auto"/>
      </w:divBdr>
    </w:div>
    <w:div w:id="210718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23E642D8EF44AB39CA1ADA6D9E622" ma:contentTypeVersion="15" ma:contentTypeDescription="Create a new document." ma:contentTypeScope="" ma:versionID="aa3e8b6ebe913e4bb04a8776375aaa15">
  <xsd:schema xmlns:xsd="http://www.w3.org/2001/XMLSchema" xmlns:xs="http://www.w3.org/2001/XMLSchema" xmlns:p="http://schemas.microsoft.com/office/2006/metadata/properties" xmlns:ns1="http://schemas.microsoft.com/sharepoint/v3" xmlns:ns2="e48dd44c-7e68-477e-8836-d10eaa774a8f" xmlns:ns3="54feaffa-4c7c-4f3c-8702-66680f08b59d" targetNamespace="http://schemas.microsoft.com/office/2006/metadata/properties" ma:root="true" ma:fieldsID="903745b2271d4dcac5d63d86e5b5c747" ns1:_="" ns2:_="" ns3:_="">
    <xsd:import namespace="http://schemas.microsoft.com/sharepoint/v3"/>
    <xsd:import namespace="e48dd44c-7e68-477e-8836-d10eaa774a8f"/>
    <xsd:import namespace="54feaffa-4c7c-4f3c-8702-66680f08b5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dd44c-7e68-477e-8836-d10eaa774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f5edc9-6157-4edc-81a6-548b214ed69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eaffa-4c7c-4f3c-8702-66680f08b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392a0a5-98b5-4e36-9aaf-e2d752b29662}" ma:internalName="TaxCatchAll" ma:showField="CatchAllData" ma:web="54feaffa-4c7c-4f3c-8702-66680f08b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4feaffa-4c7c-4f3c-8702-66680f08b59d" xsi:nil="true"/>
    <lcf76f155ced4ddcb4097134ff3c332f xmlns="e48dd44c-7e68-477e-8836-d10eaa774a8f">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FA7AA-3601-4B6C-BEE6-CD9513EAA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8dd44c-7e68-477e-8836-d10eaa774a8f"/>
    <ds:schemaRef ds:uri="54feaffa-4c7c-4f3c-8702-66680f08b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65AB4-D81A-412F-85BE-1407BEBEC14C}">
  <ds:schemaRefs>
    <ds:schemaRef ds:uri="http://schemas.microsoft.com/office/2006/metadata/properties"/>
    <ds:schemaRef ds:uri="http://schemas.microsoft.com/office/infopath/2007/PartnerControls"/>
    <ds:schemaRef ds:uri="http://schemas.microsoft.com/sharepoint/v3"/>
    <ds:schemaRef ds:uri="54feaffa-4c7c-4f3c-8702-66680f08b59d"/>
    <ds:schemaRef ds:uri="e48dd44c-7e68-477e-8836-d10eaa774a8f"/>
  </ds:schemaRefs>
</ds:datastoreItem>
</file>

<file path=customXml/itemProps3.xml><?xml version="1.0" encoding="utf-8"?>
<ds:datastoreItem xmlns:ds="http://schemas.openxmlformats.org/officeDocument/2006/customXml" ds:itemID="{9D668F61-2E3C-4F77-8209-F9B59E8B6E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6</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Katznelson</dc:creator>
  <cp:keywords/>
  <dc:description/>
  <cp:lastModifiedBy>Aaron Walker</cp:lastModifiedBy>
  <cp:revision>2</cp:revision>
  <dcterms:created xsi:type="dcterms:W3CDTF">2024-04-10T01:48:00Z</dcterms:created>
  <dcterms:modified xsi:type="dcterms:W3CDTF">2024-04-10T01:48:00Z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0x010100FA623E642D8EF44AB39CA1ADA6D9E622</vt:lpwstr>
  </property>
  <property fmtid="{D5CDD505-2E9C-101B-9397-08002B2CF9AE}" pid="3" name="MediaServiceImageTags">
    <vt:lpwstr/>
  </property>
</Properties>
</file>