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7731" w:rsidP="00FE3283" w:rsidRDefault="00DC110B" w14:paraId="70A12892" w14:textId="6954F52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110B">
        <w:rPr>
          <w:rFonts w:ascii="Times New Roman" w:hAnsi="Times New Roman" w:cs="Times New Roman"/>
          <w:b/>
          <w:bCs/>
          <w:sz w:val="28"/>
          <w:szCs w:val="28"/>
        </w:rPr>
        <w:t>Changes to Annual Guidance Between Issuing WAP Memorandum 138: Program Year 2025 Weatherization Assistance Program Draft Grant Guidance and Weatherization Program Notice 25-1: Program Year 2025 Weatherization Grant Application Information</w:t>
      </w:r>
    </w:p>
    <w:p w:rsidR="00DC110B" w:rsidP="00FE3283" w:rsidRDefault="00DC110B" w14:paraId="1DC1AE5F" w14:textId="7777777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Pr="003D3DBE" w:rsidR="00DC110B" w:rsidP="00FE3283" w:rsidRDefault="00DC110B" w14:paraId="2172DBC6" w14:textId="483E9C9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3DBE">
        <w:rPr>
          <w:rFonts w:ascii="Times New Roman" w:hAnsi="Times New Roman" w:cs="Times New Roman"/>
          <w:b/>
          <w:bCs/>
          <w:sz w:val="24"/>
          <w:szCs w:val="24"/>
          <w:u w:val="single"/>
        </w:rPr>
        <w:t>W</w:t>
      </w:r>
      <w:r w:rsidR="003D3DBE">
        <w:rPr>
          <w:rFonts w:ascii="Times New Roman" w:hAnsi="Times New Roman" w:cs="Times New Roman"/>
          <w:b/>
          <w:bCs/>
          <w:sz w:val="24"/>
          <w:szCs w:val="24"/>
          <w:u w:val="single"/>
        </w:rPr>
        <w:t>eatherization Program Notice</w:t>
      </w:r>
      <w:r w:rsidRPr="003D3D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25-1</w:t>
      </w:r>
    </w:p>
    <w:p w:rsidRPr="00B34CDE" w:rsidR="00CF5778" w:rsidP="0AB64B47" w:rsidRDefault="00CF5778" w14:paraId="002EFC99" w14:textId="77777777" w14:noSpellErr="1">
      <w:pPr>
        <w:pStyle w:val="ListParagraph"/>
        <w:numPr>
          <w:ilvl w:val="0"/>
          <w:numId w:val="10"/>
        </w:numPr>
        <w:spacing w:after="0" w:afterAutospacing="off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AB64B47" w:rsidR="00CF5778">
        <w:rPr>
          <w:rFonts w:ascii="Times New Roman" w:hAnsi="Times New Roman" w:cs="Times New Roman"/>
          <w:sz w:val="24"/>
          <w:szCs w:val="24"/>
        </w:rPr>
        <w:t>References to “Contracting Officer” (or CO) were replaced by “Grants Officer” (or GO).</w:t>
      </w:r>
    </w:p>
    <w:p w:rsidR="0AB64B47" w:rsidP="0AB64B47" w:rsidRDefault="0AB64B47" w14:paraId="4B8415CF" w14:textId="424ECA42">
      <w:pPr>
        <w:pStyle w:val="ListParagraph"/>
        <w:spacing w:after="0" w:afterAutospacing="off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Pr="00F5570B" w:rsidR="00CF5778" w:rsidP="0AB64B47" w:rsidRDefault="00F5570B" w14:paraId="2EFC98BD" w14:textId="47FD0351">
      <w:pPr>
        <w:pStyle w:val="ListParagraph"/>
        <w:numPr>
          <w:ilvl w:val="0"/>
          <w:numId w:val="10"/>
        </w:numPr>
        <w:spacing w:after="0" w:afterAutospacing="off" w:line="240" w:lineRule="auto"/>
        <w:ind w:left="720"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0AB64B47" w:rsidR="00CF577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1.0 PURPOSE </w:t>
      </w:r>
      <w:r w:rsidRPr="0AB64B47" w:rsidR="00CF5778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BACKGROUND</w:t>
      </w:r>
    </w:p>
    <w:p w:rsidRPr="00F5570B" w:rsidR="00CF5778" w:rsidP="0AB64B47" w:rsidRDefault="00F5570B" w14:paraId="7B4D4679" w14:textId="2DF96626">
      <w:pPr>
        <w:pStyle w:val="ListParagraph"/>
        <w:spacing w:after="0" w:afterAutospacing="off" w:line="240" w:lineRule="auto"/>
        <w:ind w:left="720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0AB64B47" w:rsidR="08562184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Included name of attachment to Memo 139-PY 2025 Planning Estimates. </w:t>
      </w:r>
    </w:p>
    <w:p w:rsidRPr="00F5570B" w:rsidR="00CF5778" w:rsidP="0AB64B47" w:rsidRDefault="00F5570B" w14:paraId="08A25EA9" w14:textId="7F79BD02">
      <w:pPr>
        <w:pStyle w:val="ListParagraph"/>
        <w:spacing w:after="0" w:afterAutospacing="off" w:line="240" w:lineRule="auto"/>
        <w:ind w:left="720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Pr="00F5570B" w:rsidR="00CF5778" w:rsidP="0AB64B47" w:rsidRDefault="00F5570B" w14:paraId="2310277B" w14:textId="439BADBD">
      <w:pPr>
        <w:pStyle w:val="ListParagraph"/>
        <w:numPr>
          <w:ilvl w:val="0"/>
          <w:numId w:val="1"/>
        </w:numPr>
        <w:spacing w:after="0" w:afterAutospacing="off" w:line="240" w:lineRule="auto"/>
        <w:ind w:right="144"/>
        <w:rPr>
          <w:rFonts w:ascii="Times New Roman" w:hAnsi="Times New Roman" w:cs="Times New Roman"/>
          <w:i w:val="1"/>
          <w:iCs w:val="1"/>
          <w:color w:val="000000" w:themeColor="text1" w:themeTint="FF" w:themeShade="FF"/>
          <w:sz w:val="24"/>
          <w:szCs w:val="24"/>
        </w:rPr>
      </w:pPr>
      <w:r w:rsidRPr="0AB64B47" w:rsidR="00CF577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2.6 </w:t>
      </w:r>
      <w:r w:rsidRPr="0AB64B47" w:rsidR="00CF5778">
        <w:rPr>
          <w:rFonts w:ascii="Times New Roman" w:hAnsi="Times New Roman" w:cs="Times New Roman"/>
          <w:b w:val="1"/>
          <w:bCs w:val="1"/>
          <w:sz w:val="24"/>
          <w:szCs w:val="24"/>
        </w:rPr>
        <w:t>EQUITY AND THE JUSTICE40 INITIATIVE</w:t>
      </w:r>
    </w:p>
    <w:p w:rsidRPr="00F5570B" w:rsidR="00CF5778" w:rsidP="0AB64B47" w:rsidRDefault="00F5570B" w14:paraId="18AF06AE" w14:textId="36C2A64B">
      <w:pPr>
        <w:pStyle w:val="ListParagraph"/>
        <w:spacing w:after="0" w:afterAutospacing="off" w:line="240" w:lineRule="auto"/>
        <w:ind w:left="720" w:right="144"/>
        <w:rPr>
          <w:rFonts w:ascii="Times New Roman" w:hAnsi="Times New Roman" w:cs="Times New Roman"/>
          <w:i w:val="1"/>
          <w:iCs w:val="1"/>
          <w:color w:val="000000" w:themeColor="text1" w:themeTint="FF" w:themeShade="FF"/>
          <w:sz w:val="24"/>
          <w:szCs w:val="24"/>
        </w:rPr>
      </w:pPr>
      <w:r w:rsidR="74805CE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Added back in the p</w:t>
      </w:r>
      <w:r w:rsidR="00F5570B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aragraph </w:t>
      </w:r>
      <w:r w:rsidR="52631BEF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regarding J40 investments </w:t>
      </w:r>
      <w:r w:rsidR="00F5570B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with </w:t>
      </w:r>
      <w:r w:rsidR="00F5570B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additional</w:t>
      </w:r>
      <w:r w:rsidR="00F5570B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501996C9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J40 investments. </w:t>
      </w:r>
    </w:p>
    <w:p w:rsidR="0AB64B47" w:rsidP="0AB64B47" w:rsidRDefault="0AB64B47" w14:paraId="27853EE0" w14:textId="74881C81">
      <w:pPr>
        <w:pStyle w:val="ListParagraph"/>
        <w:spacing w:after="0" w:afterAutospacing="off" w:line="240" w:lineRule="auto"/>
        <w:ind w:left="720" w:right="144"/>
        <w:rPr>
          <w:rFonts w:ascii="Times New Roman" w:hAnsi="Times New Roman" w:cs="Times New Roman"/>
          <w:i w:val="1"/>
          <w:iCs w:val="1"/>
          <w:color w:val="000000" w:themeColor="text1" w:themeTint="FF" w:themeShade="FF"/>
          <w:sz w:val="24"/>
          <w:szCs w:val="24"/>
        </w:rPr>
      </w:pPr>
    </w:p>
    <w:p w:rsidRPr="00CF5778" w:rsidR="00CF5778" w:rsidP="0AB64B47" w:rsidRDefault="00CF5778" w14:paraId="5C000648" w14:textId="17FA90D5" w14:noSpellErr="1">
      <w:pPr>
        <w:pStyle w:val="ListParagraph"/>
        <w:numPr>
          <w:ilvl w:val="0"/>
          <w:numId w:val="1"/>
        </w:numPr>
        <w:spacing w:after="0" w:afterAutospacing="off" w:line="240" w:lineRule="auto"/>
        <w:rPr>
          <w:rFonts w:ascii="Times New Roman" w:hAnsi="Times New Roman" w:cs="Times New Roman"/>
          <w:b w:val="1"/>
          <w:bCs w:val="1"/>
          <w:color w:val="000000"/>
          <w:sz w:val="24"/>
          <w:szCs w:val="24"/>
          <w:shd w:val="clear" w:color="auto" w:fill="FFFFFF"/>
        </w:rPr>
      </w:pPr>
      <w:r w:rsidR="00CF5778">
        <w:rPr>
          <w:rFonts w:ascii="Times New Roman" w:hAnsi="Times New Roman" w:cs="Times New Roman"/>
          <w:b w:val="1"/>
          <w:bCs w:val="1"/>
          <w:color w:val="000000"/>
          <w:sz w:val="24"/>
          <w:szCs w:val="24"/>
          <w:shd w:val="clear" w:color="auto" w:fill="FFFFFF"/>
        </w:rPr>
        <w:t xml:space="preserve">2.7 </w:t>
      </w:r>
      <w:r w:rsidRPr="00CF5778" w:rsidR="00CF5778">
        <w:rPr>
          <w:rFonts w:ascii="Times New Roman" w:hAnsi="Times New Roman" w:cs="Times New Roman"/>
          <w:b w:val="1"/>
          <w:bCs w:val="1"/>
          <w:color w:val="000000"/>
          <w:sz w:val="24"/>
          <w:szCs w:val="24"/>
          <w:shd w:val="clear" w:color="auto" w:fill="FFFFFF"/>
        </w:rPr>
        <w:t>NATIONAL ENVIRONMENTAL POLICY ACT (NEPA) &amp; HISTORIC PRESERVATION</w:t>
      </w:r>
    </w:p>
    <w:p w:rsidRPr="00CF5778" w:rsidR="00CF5778" w:rsidP="0AB64B47" w:rsidRDefault="00CF5778" w14:paraId="029303D7" w14:textId="12693A8C">
      <w:pPr>
        <w:pStyle w:val="Normal"/>
        <w:suppressLineNumbers w:val="0"/>
        <w:bidi w:val="0"/>
        <w:spacing w:before="0" w:beforeAutospacing="off" w:after="0" w:afterAutospacing="off" w:line="240" w:lineRule="auto"/>
        <w:ind w:left="720" w:right="-144"/>
        <w:jc w:val="left"/>
        <w:rPr>
          <w:rFonts w:ascii="Times New Roman" w:hAnsi="Times New Roman" w:cs="Times New Roman"/>
          <w:sz w:val="24"/>
          <w:szCs w:val="24"/>
        </w:rPr>
      </w:pPr>
      <w:bookmarkStart w:name="_Hlk173410678" w:id="11"/>
      <w:r w:rsidRPr="0AB64B47" w:rsidR="344E3659">
        <w:rPr>
          <w:rFonts w:ascii="Times New Roman" w:hAnsi="Times New Roman" w:cs="Times New Roman"/>
          <w:sz w:val="24"/>
          <w:szCs w:val="24"/>
        </w:rPr>
        <w:t>Announced attachments of the NEPA Determinations</w:t>
      </w:r>
      <w:r w:rsidRPr="0AB64B47" w:rsidR="0E38932F">
        <w:rPr>
          <w:rFonts w:ascii="Times New Roman" w:hAnsi="Times New Roman" w:cs="Times New Roman"/>
          <w:sz w:val="24"/>
          <w:szCs w:val="24"/>
        </w:rPr>
        <w:t>.</w:t>
      </w:r>
    </w:p>
    <w:p w:rsidR="0AB64B47" w:rsidP="0AB64B47" w:rsidRDefault="0AB64B47" w14:paraId="3DA5EC6D" w14:textId="6E849424">
      <w:pPr>
        <w:pStyle w:val="Normal"/>
        <w:suppressLineNumbers w:val="0"/>
        <w:bidi w:val="0"/>
        <w:spacing w:before="0" w:beforeAutospacing="off" w:after="0" w:afterAutospacing="off" w:line="240" w:lineRule="auto"/>
        <w:ind w:left="720" w:right="-144"/>
        <w:jc w:val="left"/>
        <w:rPr>
          <w:rFonts w:ascii="Times New Roman" w:hAnsi="Times New Roman" w:cs="Times New Roman"/>
          <w:sz w:val="24"/>
          <w:szCs w:val="24"/>
        </w:rPr>
      </w:pPr>
    </w:p>
    <w:bookmarkEnd w:id="11"/>
    <w:p w:rsidRPr="00566C26" w:rsidR="00566C26" w:rsidP="0AB64B47" w:rsidRDefault="00566C26" w14:paraId="3D03BA79" w14:textId="38020B94">
      <w:pPr>
        <w:pStyle w:val="Normal"/>
        <w:numPr>
          <w:ilvl w:val="0"/>
          <w:numId w:val="1"/>
        </w:numPr>
        <w:spacing w:after="0" w:afterAutospacing="off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0AB64B47" w:rsidR="00566C26">
        <w:rPr>
          <w:rFonts w:ascii="Times New Roman" w:hAnsi="Times New Roman" w:cs="Times New Roman"/>
          <w:b w:val="1"/>
          <w:bCs w:val="1"/>
          <w:sz w:val="24"/>
          <w:szCs w:val="24"/>
        </w:rPr>
        <w:t>3.1.1</w:t>
      </w:r>
      <w:r w:rsidRPr="0AB64B47" w:rsidR="00566C26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0AB64B47" w:rsidR="00566C26">
        <w:rPr>
          <w:rFonts w:ascii="Times New Roman" w:hAnsi="Times New Roman" w:cs="Times New Roman"/>
          <w:b w:val="1"/>
          <w:bCs w:val="1"/>
          <w:sz w:val="24"/>
          <w:szCs w:val="24"/>
        </w:rPr>
        <w:t>ADJUSTED AVERAGE COST PER DWELLING UNIT (ACPU)</w:t>
      </w:r>
    </w:p>
    <w:p w:rsidRPr="00566C26" w:rsidR="00566C26" w:rsidP="0AB64B47" w:rsidRDefault="00566C26" w14:paraId="316AB1E9" w14:textId="3BF652A4">
      <w:pPr>
        <w:spacing w:after="0" w:afterAutospacing="off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66C26" w:rsidR="08399379">
        <w:rPr>
          <w:rFonts w:ascii="Times New Roman" w:hAnsi="Times New Roman" w:cs="Times New Roman"/>
          <w:sz w:val="24"/>
          <w:szCs w:val="24"/>
        </w:rPr>
        <w:t xml:space="preserve">Removed sentence</w:t>
      </w:r>
      <w:r w:rsidRPr="00566C26" w:rsidR="7354A551">
        <w:rPr>
          <w:rFonts w:ascii="Times New Roman" w:hAnsi="Times New Roman" w:cs="Times New Roman"/>
          <w:sz w:val="24"/>
          <w:szCs w:val="24"/>
        </w:rPr>
        <w:t xml:space="preserve">s</w:t>
      </w:r>
      <w:r w:rsidRPr="00566C26" w:rsidR="08399379">
        <w:rPr>
          <w:rFonts w:ascii="Times New Roman" w:hAnsi="Times New Roman" w:cs="Times New Roman"/>
          <w:sz w:val="24"/>
          <w:szCs w:val="24"/>
        </w:rPr>
        <w:t xml:space="preserve"> about updates to CPI language</w:t>
      </w:r>
      <w:r w:rsidRPr="00566C26" w:rsidR="211D5D9F">
        <w:rPr>
          <w:rFonts w:ascii="Times New Roman" w:hAnsi="Times New Roman" w:cs="Times New Roman"/>
          <w:sz w:val="24"/>
          <w:szCs w:val="24"/>
        </w:rPr>
        <w:t xml:space="preserve"> and updated language in footnote. Also corrected</w:t>
      </w:r>
      <w:r w:rsidRPr="00566C26" w:rsidR="08399379">
        <w:rPr>
          <w:rFonts w:ascii="Times New Roman" w:hAnsi="Times New Roman" w:cs="Times New Roman"/>
          <w:sz w:val="24"/>
          <w:szCs w:val="24"/>
        </w:rPr>
        <w:t xml:space="preserve"> ACPU dollar amount</w:t>
      </w:r>
      <w:r w:rsidRPr="00566C26" w:rsidR="70115F1C">
        <w:rPr>
          <w:rFonts w:ascii="Times New Roman" w:hAnsi="Times New Roman" w:cs="Times New Roman"/>
          <w:sz w:val="24"/>
          <w:szCs w:val="24"/>
        </w:rPr>
        <w:t xml:space="preserve">.</w:t>
      </w:r>
    </w:p>
    <w:p w:rsidR="0AB64B47" w:rsidP="0AB64B47" w:rsidRDefault="0AB64B47" w14:paraId="116FB8DA" w14:textId="449CFC09">
      <w:pPr>
        <w:pStyle w:val="Normal"/>
        <w:spacing w:after="0" w:afterAutospacing="off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Pr="00566C26" w:rsidR="00566C26" w:rsidP="0AB64B47" w:rsidRDefault="00566C26" w14:paraId="2EF61522" w14:textId="0FB50BA4" w14:noSpellErr="1">
      <w:pPr>
        <w:pStyle w:val="ListParagraph"/>
        <w:numPr>
          <w:ilvl w:val="0"/>
          <w:numId w:val="1"/>
        </w:numPr>
        <w:spacing w:after="0" w:afterAutospacing="off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0AB64B47" w:rsidR="00566C26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3.5 </w:t>
      </w:r>
      <w:r w:rsidRPr="0AB64B47" w:rsidR="00566C26">
        <w:rPr>
          <w:rFonts w:ascii="Times New Roman" w:hAnsi="Times New Roman" w:cs="Times New Roman"/>
          <w:b w:val="1"/>
          <w:bCs w:val="1"/>
          <w:sz w:val="24"/>
          <w:szCs w:val="24"/>
        </w:rPr>
        <w:t>BUDGET/EXPENDITURES/CARRYOVER</w:t>
      </w:r>
    </w:p>
    <w:p w:rsidR="74D95F6D" w:rsidP="0AB64B47" w:rsidRDefault="74D95F6D" w14:paraId="2B3CD01F" w14:textId="4BDE388C">
      <w:pPr>
        <w:spacing w:after="0" w:afterAutospacing="off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AB64B47" w:rsidR="74D95F6D">
        <w:rPr>
          <w:rFonts w:ascii="Times New Roman" w:hAnsi="Times New Roman" w:cs="Times New Roman"/>
          <w:sz w:val="24"/>
          <w:szCs w:val="24"/>
        </w:rPr>
        <w:t>Updated language regarding PY 2025 being a new grant</w:t>
      </w:r>
      <w:r w:rsidRPr="0AB64B47" w:rsidR="5579328B">
        <w:rPr>
          <w:rFonts w:ascii="Times New Roman" w:hAnsi="Times New Roman" w:cs="Times New Roman"/>
          <w:sz w:val="24"/>
          <w:szCs w:val="24"/>
        </w:rPr>
        <w:t xml:space="preserve"> cycle and </w:t>
      </w:r>
      <w:r w:rsidRPr="0AB64B47" w:rsidR="2CC76260">
        <w:rPr>
          <w:rFonts w:ascii="Times New Roman" w:hAnsi="Times New Roman" w:cs="Times New Roman"/>
          <w:sz w:val="24"/>
          <w:szCs w:val="24"/>
        </w:rPr>
        <w:t>Grantees</w:t>
      </w:r>
      <w:r w:rsidRPr="0AB64B47" w:rsidR="5579328B">
        <w:rPr>
          <w:rFonts w:ascii="Times New Roman" w:hAnsi="Times New Roman" w:cs="Times New Roman"/>
          <w:sz w:val="24"/>
          <w:szCs w:val="24"/>
        </w:rPr>
        <w:t xml:space="preserve"> will need to complete a closeout process for </w:t>
      </w:r>
      <w:r w:rsidRPr="0AB64B47" w:rsidR="4BE0D065">
        <w:rPr>
          <w:rFonts w:ascii="Times New Roman" w:hAnsi="Times New Roman" w:cs="Times New Roman"/>
          <w:sz w:val="24"/>
          <w:szCs w:val="24"/>
        </w:rPr>
        <w:t>PY 2022 – PY 2024)</w:t>
      </w:r>
      <w:r w:rsidRPr="0AB64B47" w:rsidR="53FBE2F5">
        <w:rPr>
          <w:rFonts w:ascii="Times New Roman" w:hAnsi="Times New Roman" w:cs="Times New Roman"/>
          <w:sz w:val="24"/>
          <w:szCs w:val="24"/>
        </w:rPr>
        <w:t>.</w:t>
      </w:r>
    </w:p>
    <w:p w:rsidR="0AB64B47" w:rsidP="0AB64B47" w:rsidRDefault="0AB64B47" w14:paraId="662D2337" w14:textId="55E39E85">
      <w:pPr>
        <w:pStyle w:val="Normal"/>
        <w:spacing w:after="0" w:afterAutospacing="off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Pr="003D3DBE" w:rsidR="003D3DBE" w:rsidP="0AB64B47" w:rsidRDefault="003D3DBE" w14:paraId="081655BE" w14:textId="5E5D3819">
      <w:pPr>
        <w:pStyle w:val="ListParagraph"/>
        <w:numPr>
          <w:ilvl w:val="0"/>
          <w:numId w:val="1"/>
        </w:numPr>
        <w:spacing w:after="0" w:afterAutospacing="off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0AB64B47" w:rsidR="003D3DBE">
        <w:rPr>
          <w:rFonts w:ascii="Times New Roman" w:hAnsi="Times New Roman" w:cs="Times New Roman"/>
          <w:b w:val="1"/>
          <w:bCs w:val="1"/>
          <w:sz w:val="24"/>
          <w:szCs w:val="24"/>
        </w:rPr>
        <w:t>ATTACHMENTS</w:t>
      </w:r>
      <w:r w:rsidRPr="0AB64B47" w:rsidR="7C849D33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</w:p>
    <w:p w:rsidRPr="003D3DBE" w:rsidR="003D3DBE" w:rsidP="0AB64B47" w:rsidRDefault="003D3DBE" w14:paraId="5EE5EC91" w14:textId="782A9FFF">
      <w:pPr>
        <w:pStyle w:val="ListParagraph"/>
        <w:spacing w:after="0" w:afterAutospacing="off" w:line="240" w:lineRule="auto"/>
        <w:ind w:left="720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0AB64B47" w:rsidR="692A45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Updated to include NEPA determinations for both Recipients with a </w:t>
      </w:r>
      <w:r w:rsidRPr="0AB64B47" w:rsidR="4C209B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Historic Preservation </w:t>
      </w:r>
      <w:r w:rsidRPr="0AB64B47" w:rsidR="692A45EE">
        <w:rPr>
          <w:rFonts w:ascii="Times New Roman" w:hAnsi="Times New Roman" w:cs="Times New Roman"/>
          <w:b w:val="0"/>
          <w:bCs w:val="0"/>
          <w:sz w:val="24"/>
          <w:szCs w:val="24"/>
        </w:rPr>
        <w:t>Programmatic</w:t>
      </w:r>
      <w:r w:rsidRPr="0AB64B47" w:rsidR="73651A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Agreement and for those without a</w:t>
      </w:r>
      <w:r w:rsidRPr="0AB64B47" w:rsidR="692A45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AB64B47" w:rsidR="34B1A72B">
        <w:rPr>
          <w:rFonts w:ascii="Times New Roman" w:hAnsi="Times New Roman" w:cs="Times New Roman"/>
          <w:b w:val="0"/>
          <w:bCs w:val="0"/>
          <w:sz w:val="24"/>
          <w:szCs w:val="24"/>
        </w:rPr>
        <w:t>Historic Preservation Programmatic Agreement</w:t>
      </w:r>
      <w:r w:rsidRPr="0AB64B47" w:rsidR="103B600F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Pr="003D3DBE" w:rsidR="00DC110B" w:rsidP="0AB64B47" w:rsidRDefault="003D3DBE" w14:paraId="6F72C2BF" w14:textId="51D4078A">
      <w:pPr>
        <w:pStyle w:val="ListParagraph"/>
        <w:spacing w:after="0" w:line="240" w:lineRule="auto"/>
        <w:ind w:left="720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Pr="003D3DBE" w:rsidR="00DC110B" w:rsidP="0AB64B47" w:rsidRDefault="003D3DBE" w14:paraId="7E113F88" w14:textId="3001B07D">
      <w:pPr>
        <w:pStyle w:val="Normal"/>
        <w:spacing w:after="0" w:line="240" w:lineRule="auto"/>
        <w:ind w:left="360" w:hanging="0"/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</w:pPr>
      <w:r w:rsidRPr="0AB64B47" w:rsidR="003D3DBE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>PY 2025 APPLICATION INSTRUCTIONS</w:t>
      </w:r>
    </w:p>
    <w:p w:rsidRPr="00B34CDE" w:rsidR="00B34CDE" w:rsidP="0AB64B47" w:rsidRDefault="00B34CDE" w14:paraId="1A2F28BA" w14:textId="193BDF62" w14:noSpellErr="1">
      <w:pPr>
        <w:pStyle w:val="ListParagraph"/>
        <w:numPr>
          <w:ilvl w:val="0"/>
          <w:numId w:val="1"/>
        </w:numPr>
        <w:spacing w:after="0" w:afterAutospacing="off" w:line="240" w:lineRule="auto"/>
        <w:rPr>
          <w:rFonts w:ascii="Times New Roman" w:hAnsi="Times New Roman" w:cs="Times New Roman"/>
          <w:sz w:val="24"/>
          <w:szCs w:val="24"/>
        </w:rPr>
      </w:pPr>
      <w:r w:rsidRPr="0AB64B47" w:rsidR="00B34CDE">
        <w:rPr>
          <w:rFonts w:ascii="Times New Roman" w:hAnsi="Times New Roman" w:cs="Times New Roman"/>
          <w:sz w:val="24"/>
          <w:szCs w:val="24"/>
        </w:rPr>
        <w:t>List of Acronyms</w:t>
      </w:r>
      <w:r w:rsidRPr="0AB64B47" w:rsidR="00B34CDE">
        <w:rPr>
          <w:rFonts w:ascii="Times New Roman" w:hAnsi="Times New Roman" w:cs="Times New Roman"/>
          <w:sz w:val="24"/>
          <w:szCs w:val="24"/>
        </w:rPr>
        <w:t xml:space="preserve"> removes “Contracting Officer” and </w:t>
      </w:r>
      <w:r w:rsidRPr="0AB64B47" w:rsidR="00B34CDE">
        <w:rPr>
          <w:rFonts w:ascii="Times New Roman" w:hAnsi="Times New Roman" w:cs="Times New Roman"/>
          <w:sz w:val="24"/>
          <w:szCs w:val="24"/>
        </w:rPr>
        <w:t>adds “Grants Officer</w:t>
      </w:r>
      <w:r w:rsidRPr="0AB64B47" w:rsidR="00B34CDE">
        <w:rPr>
          <w:rFonts w:ascii="Times New Roman" w:hAnsi="Times New Roman" w:cs="Times New Roman"/>
          <w:sz w:val="24"/>
          <w:szCs w:val="24"/>
        </w:rPr>
        <w:t>”</w:t>
      </w:r>
      <w:r w:rsidRPr="0AB64B47" w:rsidR="00B34CDE">
        <w:rPr>
          <w:rFonts w:ascii="Times New Roman" w:hAnsi="Times New Roman" w:cs="Times New Roman"/>
          <w:sz w:val="24"/>
          <w:szCs w:val="24"/>
        </w:rPr>
        <w:t>.</w:t>
      </w:r>
      <w:r w:rsidRPr="0AB64B47" w:rsidR="00B34CDE">
        <w:rPr>
          <w:rFonts w:ascii="Times New Roman" w:hAnsi="Times New Roman" w:cs="Times New Roman"/>
          <w:sz w:val="24"/>
          <w:szCs w:val="24"/>
        </w:rPr>
        <w:t xml:space="preserve"> References to “Contracting Officer” (or CO) were replaced by “Grants Officer” (or GO).</w:t>
      </w:r>
    </w:p>
    <w:p w:rsidR="0AB64B47" w:rsidP="0AB64B47" w:rsidRDefault="0AB64B47" w14:paraId="6E64C02B" w14:textId="794529DE">
      <w:pPr>
        <w:pStyle w:val="ListParagraph"/>
        <w:spacing w:after="0" w:afterAutospacing="off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Pr="00DC110B" w:rsidR="00B34CDE" w:rsidP="0AB64B47" w:rsidRDefault="00B34CDE" w14:paraId="6228C212" w14:textId="07179128">
      <w:pPr>
        <w:pStyle w:val="ListParagraph"/>
        <w:numPr>
          <w:ilvl w:val="0"/>
          <w:numId w:val="1"/>
        </w:numPr>
        <w:spacing w:after="0" w:afterAutospacing="off" w:line="240" w:lineRule="auto"/>
        <w:rPr>
          <w:rFonts w:ascii="Times New Roman" w:hAnsi="Times New Roman" w:cs="Times New Roman"/>
          <w:sz w:val="24"/>
          <w:szCs w:val="24"/>
        </w:rPr>
      </w:pPr>
      <w:r w:rsidRPr="0AB64B47" w:rsidR="00B34CDE">
        <w:rPr>
          <w:rFonts w:ascii="Times New Roman" w:hAnsi="Times New Roman" w:cs="Times New Roman"/>
          <w:b w:val="1"/>
          <w:bCs w:val="1"/>
          <w:sz w:val="24"/>
          <w:szCs w:val="24"/>
        </w:rPr>
        <w:t>III.2 Budget Categorie</w:t>
      </w:r>
      <w:r w:rsidRPr="0AB64B47" w:rsidR="00B34CDE">
        <w:rPr>
          <w:rFonts w:ascii="Times New Roman" w:hAnsi="Times New Roman" w:cs="Times New Roman"/>
          <w:b w:val="1"/>
          <w:bCs w:val="1"/>
          <w:sz w:val="24"/>
          <w:szCs w:val="24"/>
        </w:rPr>
        <w:t>s</w:t>
      </w:r>
      <w:r w:rsidRPr="0AB64B47" w:rsidR="00B34CD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– Section B</w:t>
      </w:r>
      <w:r w:rsidRPr="0AB64B47" w:rsidR="00B34CD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: Administrative Categories </w:t>
      </w:r>
    </w:p>
    <w:p w:rsidRPr="00DC110B" w:rsidR="00B34CDE" w:rsidP="0AB64B47" w:rsidRDefault="00B34CDE" w14:paraId="1E3A168E" w14:textId="330D727A">
      <w:pPr>
        <w:pStyle w:val="ListParagraph"/>
        <w:spacing w:after="0" w:afterAutospacing="off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AB64B47" w:rsidR="207819DD">
        <w:rPr>
          <w:rFonts w:ascii="Times New Roman" w:hAnsi="Times New Roman" w:cs="Times New Roman"/>
          <w:sz w:val="24"/>
          <w:szCs w:val="24"/>
        </w:rPr>
        <w:t>S</w:t>
      </w:r>
      <w:r w:rsidRPr="0AB64B47" w:rsidR="00B34CDE">
        <w:rPr>
          <w:rFonts w:ascii="Times New Roman" w:hAnsi="Times New Roman" w:cs="Times New Roman"/>
          <w:sz w:val="24"/>
          <w:szCs w:val="24"/>
        </w:rPr>
        <w:t>trikes “</w:t>
      </w:r>
      <w:r w:rsidRPr="0AB64B47" w:rsidR="00B34CDE">
        <w:rPr>
          <w:rFonts w:ascii="Times New Roman" w:hAnsi="Times New Roman" w:cs="Times New Roman"/>
          <w:sz w:val="24"/>
          <w:szCs w:val="24"/>
        </w:rPr>
        <w:t>Grantees should not include WRF or SERC when determining Subgrantee’s allocations for this allowance.</w:t>
      </w:r>
      <w:r w:rsidRPr="0AB64B47" w:rsidR="00B34CDE">
        <w:rPr>
          <w:rFonts w:ascii="Times New Roman" w:hAnsi="Times New Roman" w:cs="Times New Roman"/>
          <w:sz w:val="24"/>
          <w:szCs w:val="24"/>
        </w:rPr>
        <w:t>”</w:t>
      </w:r>
    </w:p>
    <w:p w:rsidR="0AB64B47" w:rsidP="0AB64B47" w:rsidRDefault="0AB64B47" w14:paraId="4A8CCD7A" w14:textId="36C2EE9E">
      <w:pPr>
        <w:pStyle w:val="ListParagraph"/>
        <w:spacing w:after="0" w:afterAutospacing="off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C110B" w:rsidP="0AB64B47" w:rsidRDefault="00B34CDE" w14:paraId="480A1B8B" w14:textId="667F8ECE">
      <w:pPr>
        <w:pStyle w:val="ListParagraph"/>
        <w:numPr>
          <w:ilvl w:val="0"/>
          <w:numId w:val="1"/>
        </w:numPr>
        <w:spacing w:after="0" w:afterAutospacing="off" w:line="240" w:lineRule="auto"/>
        <w:rPr>
          <w:rFonts w:ascii="Times New Roman" w:hAnsi="Times New Roman" w:cs="Times New Roman"/>
          <w:sz w:val="24"/>
          <w:szCs w:val="24"/>
        </w:rPr>
      </w:pPr>
      <w:r w:rsidRPr="0AB64B47" w:rsidR="00B34CDE">
        <w:rPr>
          <w:rFonts w:ascii="Times New Roman" w:hAnsi="Times New Roman" w:cs="Times New Roman"/>
          <w:b w:val="1"/>
          <w:bCs w:val="1"/>
          <w:sz w:val="24"/>
          <w:szCs w:val="24"/>
        </w:rPr>
        <w:t>V.1.1</w:t>
      </w:r>
      <w:r>
        <w:tab/>
      </w:r>
      <w:r w:rsidRPr="0AB64B47" w:rsidR="00B34CDE">
        <w:rPr>
          <w:rFonts w:ascii="Times New Roman" w:hAnsi="Times New Roman" w:cs="Times New Roman"/>
          <w:b w:val="1"/>
          <w:bCs w:val="1"/>
          <w:sz w:val="24"/>
          <w:szCs w:val="24"/>
        </w:rPr>
        <w:t>Approach to Determining Client Eligibility (V.1.1 Box 1)</w:t>
      </w:r>
      <w:r w:rsidRPr="0AB64B47" w:rsidR="00B34CD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: </w:t>
      </w:r>
      <w:r w:rsidRPr="0AB64B47" w:rsidR="00B34CDE">
        <w:rPr>
          <w:rFonts w:ascii="Times New Roman" w:hAnsi="Times New Roman" w:cs="Times New Roman"/>
          <w:b w:val="1"/>
          <w:bCs w:val="1"/>
          <w:sz w:val="24"/>
          <w:szCs w:val="24"/>
        </w:rPr>
        <w:t>Income Verification (V.1.1 Box 2)</w:t>
      </w:r>
    </w:p>
    <w:p w:rsidR="00DC110B" w:rsidP="0AB64B47" w:rsidRDefault="00B34CDE" w14:paraId="52CF7044" w14:textId="496E71BB">
      <w:pPr>
        <w:pStyle w:val="ListParagraph"/>
        <w:spacing w:after="0" w:afterAutospacing="off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AB64B47" w:rsidR="01AD4E95">
        <w:rPr>
          <w:rFonts w:ascii="Times New Roman" w:hAnsi="Times New Roman" w:cs="Times New Roman"/>
          <w:sz w:val="24"/>
          <w:szCs w:val="24"/>
        </w:rPr>
        <w:t>Clarified that applicants must have their eligibility documentation recertified within 12 months of service.</w:t>
      </w:r>
    </w:p>
    <w:p w:rsidR="0AB64B47" w:rsidP="0AB64B47" w:rsidRDefault="0AB64B47" w14:paraId="5AFB97FA" w14:textId="5DC4EFD1">
      <w:pPr>
        <w:pStyle w:val="ListParagraph"/>
        <w:spacing w:after="0" w:afterAutospacing="off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C110B" w:rsidP="0AB64B47" w:rsidRDefault="00B34CDE" w14:paraId="709B0615" w14:textId="50766BF8">
      <w:pPr>
        <w:pStyle w:val="ListParagraph"/>
        <w:widowControl w:val="0"/>
        <w:numPr>
          <w:ilvl w:val="0"/>
          <w:numId w:val="1"/>
        </w:numPr>
        <w:spacing w:after="0" w:afterAutospacing="off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0AB64B47" w:rsidR="00B34CDE">
        <w:rPr>
          <w:rFonts w:ascii="Times New Roman" w:hAnsi="Times New Roman" w:cs="Times New Roman"/>
          <w:b w:val="1"/>
          <w:bCs w:val="1"/>
          <w:sz w:val="24"/>
          <w:szCs w:val="24"/>
        </w:rPr>
        <w:t>V.1.2</w:t>
      </w:r>
      <w:r>
        <w:tab/>
      </w:r>
      <w:r w:rsidRPr="0AB64B47" w:rsidR="00B34CDE">
        <w:rPr>
          <w:rFonts w:ascii="Times New Roman" w:hAnsi="Times New Roman" w:cs="Times New Roman"/>
          <w:b w:val="1"/>
          <w:bCs w:val="1"/>
          <w:sz w:val="24"/>
          <w:szCs w:val="24"/>
        </w:rPr>
        <w:t>Approach to Determining Building Eligibility</w:t>
      </w:r>
      <w:r w:rsidRPr="0AB64B47" w:rsidR="00B34CD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: </w:t>
      </w:r>
      <w:r w:rsidRPr="0AB64B47" w:rsidR="00B34CDE">
        <w:rPr>
          <w:rFonts w:ascii="Times New Roman" w:hAnsi="Times New Roman" w:cs="Times New Roman"/>
          <w:b w:val="1"/>
          <w:bCs w:val="1"/>
          <w:sz w:val="24"/>
          <w:szCs w:val="24"/>
        </w:rPr>
        <w:t>Describe What Structures are Eligible for Weatherization (V.1.2 Box 3)</w:t>
      </w:r>
    </w:p>
    <w:p w:rsidRPr="00B34CDE" w:rsidR="00B34CDE" w:rsidP="0AB64B47" w:rsidRDefault="00B34CDE" w14:paraId="2EC98ABA" w14:textId="0E43B23C">
      <w:pPr>
        <w:pStyle w:val="ListParagraph"/>
        <w:spacing w:after="0" w:afterAutospacing="off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AB64B47" w:rsidR="328608E8">
        <w:rPr>
          <w:rFonts w:ascii="Times New Roman" w:hAnsi="Times New Roman" w:cs="Times New Roman"/>
          <w:sz w:val="24"/>
          <w:szCs w:val="24"/>
        </w:rPr>
        <w:t xml:space="preserve">Clarified </w:t>
      </w:r>
      <w:r w:rsidRPr="0AB64B47" w:rsidR="00B34CDE">
        <w:rPr>
          <w:rFonts w:ascii="Times New Roman" w:hAnsi="Times New Roman" w:cs="Times New Roman"/>
          <w:sz w:val="24"/>
          <w:szCs w:val="24"/>
        </w:rPr>
        <w:t>Grantees without a P</w:t>
      </w:r>
      <w:r w:rsidRPr="0AB64B47" w:rsidR="44AF5BD1">
        <w:rPr>
          <w:rFonts w:ascii="Times New Roman" w:hAnsi="Times New Roman" w:cs="Times New Roman"/>
          <w:sz w:val="24"/>
          <w:szCs w:val="24"/>
        </w:rPr>
        <w:t>rogrammatic</w:t>
      </w:r>
      <w:r w:rsidRPr="0AB64B47" w:rsidR="509C731F">
        <w:rPr>
          <w:rFonts w:ascii="Times New Roman" w:hAnsi="Times New Roman" w:cs="Times New Roman"/>
          <w:sz w:val="24"/>
          <w:szCs w:val="24"/>
        </w:rPr>
        <w:t xml:space="preserve"> </w:t>
      </w:r>
      <w:r w:rsidRPr="0AB64B47" w:rsidR="00B34CDE">
        <w:rPr>
          <w:rFonts w:ascii="Times New Roman" w:hAnsi="Times New Roman" w:cs="Times New Roman"/>
          <w:sz w:val="24"/>
          <w:szCs w:val="24"/>
        </w:rPr>
        <w:t>A</w:t>
      </w:r>
      <w:r w:rsidRPr="0AB64B47" w:rsidR="260D09B0">
        <w:rPr>
          <w:rFonts w:ascii="Times New Roman" w:hAnsi="Times New Roman" w:cs="Times New Roman"/>
          <w:sz w:val="24"/>
          <w:szCs w:val="24"/>
        </w:rPr>
        <w:t>greement</w:t>
      </w:r>
      <w:r w:rsidRPr="0AB64B47" w:rsidR="65D39E27">
        <w:rPr>
          <w:rFonts w:ascii="Times New Roman" w:hAnsi="Times New Roman" w:cs="Times New Roman"/>
          <w:sz w:val="24"/>
          <w:szCs w:val="24"/>
        </w:rPr>
        <w:t xml:space="preserve"> are</w:t>
      </w:r>
      <w:r w:rsidRPr="0AB64B47" w:rsidR="00B34CDE">
        <w:rPr>
          <w:rFonts w:ascii="Times New Roman" w:hAnsi="Times New Roman" w:cs="Times New Roman"/>
          <w:sz w:val="24"/>
          <w:szCs w:val="24"/>
        </w:rPr>
        <w:t xml:space="preserve"> Guam and Indian Tribes</w:t>
      </w:r>
      <w:r w:rsidRPr="0AB64B47" w:rsidR="32721792">
        <w:rPr>
          <w:rFonts w:ascii="Times New Roman" w:hAnsi="Times New Roman" w:cs="Times New Roman"/>
          <w:sz w:val="24"/>
          <w:szCs w:val="24"/>
        </w:rPr>
        <w:t xml:space="preserve"> and they</w:t>
      </w:r>
      <w:r w:rsidRPr="0AB64B47" w:rsidR="00B34CDE">
        <w:rPr>
          <w:rFonts w:ascii="Times New Roman" w:hAnsi="Times New Roman" w:cs="Times New Roman"/>
          <w:sz w:val="24"/>
          <w:szCs w:val="24"/>
        </w:rPr>
        <w:t xml:space="preserve"> are restricted to activities on structures less than 45 years old and not on Tribal land, unless those activities are reviewed by DOE. </w:t>
      </w:r>
    </w:p>
    <w:p w:rsidR="0AB64B47" w:rsidP="0AB64B47" w:rsidRDefault="0AB64B47" w14:paraId="16C71BC2" w14:textId="7CF7028B">
      <w:pPr>
        <w:pStyle w:val="ListParagraph"/>
        <w:spacing w:after="0" w:afterAutospacing="off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842FB" w:rsidP="0AB64B47" w:rsidRDefault="007842FB" w14:paraId="23F922DF" w14:textId="51A531E8" w14:noSpellErr="1">
      <w:pPr>
        <w:pStyle w:val="ListParagraph"/>
        <w:numPr>
          <w:ilvl w:val="0"/>
          <w:numId w:val="1"/>
        </w:numPr>
        <w:spacing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AB64B47" w:rsidR="007842F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V.1.2</w:t>
      </w:r>
      <w:r>
        <w:tab/>
      </w:r>
      <w:r w:rsidRPr="0AB64B47" w:rsidR="007842F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Approach to Determining Building Eligibility</w:t>
      </w:r>
      <w:r w:rsidRPr="0AB64B47" w:rsidR="007842F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: </w:t>
      </w:r>
      <w:r w:rsidRPr="0AB64B47" w:rsidR="007842F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Weatherization Readiness Funds (WRF)</w:t>
      </w:r>
    </w:p>
    <w:p w:rsidR="403B1EAC" w:rsidP="0AB64B47" w:rsidRDefault="403B1EAC" w14:paraId="34C8CBDD" w14:textId="2DEA0FCB">
      <w:pPr>
        <w:pStyle w:val="ListParagraph"/>
        <w:spacing w:after="0" w:afterAutospacing="off" w:line="240" w:lineRule="auto"/>
        <w:ind w:left="720" w:right="-144"/>
        <w:rPr>
          <w:rFonts w:ascii="Times New Roman" w:hAnsi="Times New Roman" w:eastAsia="Calibri" w:cs="Times New Roman"/>
          <w:sz w:val="24"/>
          <w:szCs w:val="24"/>
        </w:rPr>
      </w:pPr>
      <w:r w:rsidRPr="0AB64B47" w:rsidR="403B1EAC">
        <w:rPr>
          <w:rFonts w:ascii="Times New Roman" w:hAnsi="Times New Roman" w:eastAsia="Calibri" w:cs="Times New Roman"/>
          <w:sz w:val="24"/>
          <w:szCs w:val="24"/>
        </w:rPr>
        <w:t xml:space="preserve">Clarified </w:t>
      </w:r>
      <w:r w:rsidRPr="0AB64B47" w:rsidR="007842FB">
        <w:rPr>
          <w:rFonts w:ascii="Times New Roman" w:hAnsi="Times New Roman" w:eastAsia="Calibri" w:cs="Times New Roman"/>
          <w:sz w:val="24"/>
          <w:szCs w:val="24"/>
        </w:rPr>
        <w:t>Grantees</w:t>
      </w:r>
      <w:r w:rsidRPr="0AB64B47" w:rsidR="007842FB">
        <w:rPr>
          <w:rFonts w:ascii="Times New Roman" w:hAnsi="Times New Roman" w:eastAsia="Calibri" w:cs="Times New Roman"/>
          <w:sz w:val="24"/>
          <w:szCs w:val="24"/>
        </w:rPr>
        <w:t xml:space="preserve"> must monitor WRF</w:t>
      </w:r>
      <w:r w:rsidRPr="0AB64B47" w:rsidR="007842FB">
        <w:rPr>
          <w:rFonts w:ascii="Times New Roman" w:hAnsi="Times New Roman" w:eastAsia="Calibri" w:cs="Times New Roman"/>
          <w:sz w:val="24"/>
          <w:szCs w:val="24"/>
        </w:rPr>
        <w:t xml:space="preserve"> as part of the Grantee’s annual monitoring of Subgrantees</w:t>
      </w:r>
      <w:r w:rsidRPr="0AB64B47" w:rsidR="35D64A96">
        <w:rPr>
          <w:rFonts w:ascii="Times New Roman" w:hAnsi="Times New Roman" w:eastAsia="Calibri" w:cs="Times New Roman"/>
          <w:sz w:val="24"/>
          <w:szCs w:val="24"/>
        </w:rPr>
        <w:t>.</w:t>
      </w:r>
    </w:p>
    <w:p w:rsidR="0AB64B47" w:rsidP="0AB64B47" w:rsidRDefault="0AB64B47" w14:paraId="778A33AB" w14:textId="324D6FA3">
      <w:pPr>
        <w:pStyle w:val="ListParagraph"/>
        <w:spacing w:after="0" w:afterAutospacing="off" w:line="240" w:lineRule="auto"/>
        <w:ind w:left="720" w:right="-144"/>
        <w:rPr>
          <w:rFonts w:ascii="Times New Roman" w:hAnsi="Times New Roman" w:eastAsia="Calibri" w:cs="Times New Roman"/>
          <w:sz w:val="24"/>
          <w:szCs w:val="24"/>
        </w:rPr>
      </w:pPr>
    </w:p>
    <w:p w:rsidR="007842FB" w:rsidP="0AB64B47" w:rsidRDefault="007842FB" w14:paraId="78AF975A" w14:textId="77777777" w14:noSpellErr="1">
      <w:pPr>
        <w:pStyle w:val="ListParagraph"/>
        <w:numPr>
          <w:ilvl w:val="0"/>
          <w:numId w:val="1"/>
        </w:numPr>
        <w:spacing w:after="0" w:afterAutospacing="off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AB64B47" w:rsidR="007842F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V.3</w:t>
      </w:r>
      <w:r>
        <w:tab/>
      </w:r>
      <w:r w:rsidRPr="0AB64B47" w:rsidR="007842F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Prioritizing Clients</w:t>
      </w:r>
    </w:p>
    <w:p w:rsidRPr="007842FB" w:rsidR="007842FB" w:rsidP="0AB64B47" w:rsidRDefault="007842FB" w14:paraId="2CEB36AC" w14:textId="5CE7AE4D">
      <w:pPr>
        <w:pStyle w:val="ListParagraph"/>
        <w:spacing w:after="0" w:afterAutospacing="off" w:line="240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AB64B47" w:rsidR="6AE91A6D">
        <w:rPr>
          <w:rFonts w:ascii="Times New Roman" w:hAnsi="Times New Roman" w:eastAsia="Times New Roman" w:cs="Times New Roman"/>
          <w:sz w:val="24"/>
          <w:szCs w:val="24"/>
        </w:rPr>
        <w:t>Updated language to clarify</w:t>
      </w:r>
      <w:r w:rsidRPr="0AB64B47" w:rsidR="007842FB">
        <w:rPr>
          <w:rFonts w:ascii="Times New Roman" w:hAnsi="Times New Roman" w:cs="Times New Roman"/>
          <w:sz w:val="24"/>
          <w:szCs w:val="24"/>
        </w:rPr>
        <w:t xml:space="preserve"> recertification of eligibility must occur within 12 months of service.</w:t>
      </w:r>
    </w:p>
    <w:p w:rsidRPr="007842FB" w:rsidR="00FE3283" w:rsidP="0AB64B47" w:rsidRDefault="00FE3283" w14:paraId="27023884" w14:textId="77777777">
      <w:pPr>
        <w:pStyle w:val="ListParagraph"/>
        <w:spacing w:after="120" w:line="240" w:lineRule="auto"/>
        <w:ind w:left="1440"/>
        <w:rPr>
          <w:rFonts w:ascii="Times New Roman" w:hAnsi="Times New Roman"/>
          <w:sz w:val="24"/>
          <w:szCs w:val="24"/>
        </w:rPr>
      </w:pPr>
    </w:p>
    <w:p w:rsidRPr="003D3DBE" w:rsidR="00DC110B" w:rsidP="00FE3283" w:rsidRDefault="003D3DBE" w14:paraId="2C186ADA" w14:textId="20C2E47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3DBE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AND LEGAL REQUIREMENTS DOCUMENT</w:t>
      </w:r>
    </w:p>
    <w:p w:rsidRPr="00B34CDE" w:rsidR="007842FB" w:rsidP="0AB64B47" w:rsidRDefault="007842FB" w14:paraId="3F54ADC5" w14:textId="77777777" w14:noSpellErr="1">
      <w:pPr>
        <w:pStyle w:val="ListParagraph"/>
        <w:numPr>
          <w:ilvl w:val="0"/>
          <w:numId w:val="1"/>
        </w:numPr>
        <w:spacing w:after="0" w:afterAutospacing="off" w:line="240" w:lineRule="auto"/>
        <w:rPr>
          <w:rFonts w:ascii="Times New Roman" w:hAnsi="Times New Roman" w:cs="Times New Roman"/>
          <w:sz w:val="24"/>
          <w:szCs w:val="24"/>
        </w:rPr>
      </w:pPr>
      <w:r w:rsidRPr="0AB64B47" w:rsidR="007842FB">
        <w:rPr>
          <w:rFonts w:ascii="Times New Roman" w:hAnsi="Times New Roman" w:cs="Times New Roman"/>
          <w:sz w:val="24"/>
          <w:szCs w:val="24"/>
        </w:rPr>
        <w:t>References to “Contracting Officer” (or CO) were replaced by “Grants Officer” (or GO).</w:t>
      </w:r>
    </w:p>
    <w:p w:rsidR="0AB64B47" w:rsidP="0AB64B47" w:rsidRDefault="0AB64B47" w14:paraId="382191FD" w14:textId="4DA26AA0">
      <w:pPr>
        <w:pStyle w:val="ListParagraph"/>
        <w:spacing w:after="0" w:afterAutospacing="off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Pr="007842FB" w:rsidR="007842FB" w:rsidP="0AB64B47" w:rsidRDefault="007842FB" w14:paraId="47678495" w14:textId="77777777" w14:noSpellErr="1">
      <w:pPr>
        <w:pStyle w:val="ListParagraph"/>
        <w:numPr>
          <w:ilvl w:val="0"/>
          <w:numId w:val="1"/>
        </w:numPr>
        <w:spacing w:after="0" w:afterAutospacing="off" w:line="240" w:lineRule="auto"/>
        <w:rPr>
          <w:rFonts w:ascii="Times New Roman" w:hAnsi="Times New Roman" w:eastAsia="Calibri" w:cs="Times New Roman"/>
          <w:b w:val="1"/>
          <w:bCs w:val="1"/>
          <w:sz w:val="24"/>
          <w:szCs w:val="24"/>
        </w:rPr>
      </w:pPr>
      <w:bookmarkStart w:name="_Toc362512530" w:id="58"/>
      <w:bookmarkStart w:name="_Toc374952251" w:id="59"/>
      <w:r w:rsidRPr="0AB64B47" w:rsidR="007842FB">
        <w:rPr>
          <w:rFonts w:ascii="Times New Roman" w:hAnsi="Times New Roman" w:eastAsia="Calibri" w:cs="Times New Roman"/>
          <w:b w:val="1"/>
          <w:bCs w:val="1"/>
          <w:sz w:val="24"/>
          <w:szCs w:val="24"/>
        </w:rPr>
        <w:t xml:space="preserve">3. Environmental Review </w:t>
      </w:r>
      <w:r w:rsidRPr="0AB64B47" w:rsidR="007842FB">
        <w:rPr>
          <w:rFonts w:ascii="Times New Roman" w:hAnsi="Times New Roman" w:eastAsia="Calibri" w:cs="Times New Roman"/>
          <w:b w:val="1"/>
          <w:bCs w:val="1"/>
          <w:sz w:val="24"/>
          <w:szCs w:val="24"/>
        </w:rPr>
        <w:t>in Accordance with</w:t>
      </w:r>
      <w:r w:rsidRPr="0AB64B47" w:rsidR="007842FB">
        <w:rPr>
          <w:rFonts w:ascii="Times New Roman" w:hAnsi="Times New Roman" w:eastAsia="Calibri" w:cs="Times New Roman"/>
          <w:b w:val="1"/>
          <w:bCs w:val="1"/>
          <w:sz w:val="24"/>
          <w:szCs w:val="24"/>
        </w:rPr>
        <w:t xml:space="preserve"> NEPA</w:t>
      </w:r>
      <w:bookmarkEnd w:id="58"/>
      <w:bookmarkEnd w:id="59"/>
    </w:p>
    <w:p w:rsidRPr="007842FB" w:rsidR="007842FB" w:rsidP="0AB64B47" w:rsidRDefault="007842FB" w14:paraId="2611D369" w14:textId="05CE16DA">
      <w:pPr>
        <w:pStyle w:val="ListParagraph"/>
        <w:spacing w:after="0" w:afterAutospacing="off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AB64B47" w:rsidR="6566014F">
        <w:rPr>
          <w:rFonts w:ascii="Times New Roman" w:hAnsi="Times New Roman" w:eastAsia="Calibri" w:cs="Times New Roman"/>
          <w:sz w:val="24"/>
          <w:szCs w:val="24"/>
        </w:rPr>
        <w:t>Acknowledge that the list of activities</w:t>
      </w:r>
      <w:r w:rsidRPr="0AB64B47" w:rsidR="5FF48673">
        <w:rPr>
          <w:rFonts w:ascii="Times New Roman" w:hAnsi="Times New Roman" w:eastAsia="Calibri" w:cs="Times New Roman"/>
          <w:sz w:val="24"/>
          <w:szCs w:val="24"/>
        </w:rPr>
        <w:t xml:space="preserve"> with categorical exclusions</w:t>
      </w:r>
      <w:r w:rsidRPr="0AB64B47" w:rsidR="6566014F">
        <w:rPr>
          <w:rFonts w:ascii="Times New Roman" w:hAnsi="Times New Roman" w:eastAsia="Calibri" w:cs="Times New Roman"/>
          <w:sz w:val="24"/>
          <w:szCs w:val="24"/>
        </w:rPr>
        <w:t xml:space="preserve"> in the NEPA determination have restrictions and they should be reviewed when receiving the PY 2025 award documents. </w:t>
      </w:r>
    </w:p>
    <w:p w:rsidR="0AB64B47" w:rsidP="0AB64B47" w:rsidRDefault="0AB64B47" w14:paraId="6D201F38" w14:textId="714DCEFE">
      <w:pPr>
        <w:pStyle w:val="ListParagraph"/>
        <w:spacing w:after="0" w:afterAutospacing="off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:rsidRPr="007842FB" w:rsidR="007842FB" w:rsidP="0AB64B47" w:rsidRDefault="007842FB" w14:paraId="2EA8166B" w14:textId="77777777" w14:noSpellErr="1">
      <w:pPr>
        <w:pStyle w:val="ListParagraph"/>
        <w:numPr>
          <w:ilvl w:val="0"/>
          <w:numId w:val="1"/>
        </w:numPr>
        <w:spacing w:after="0" w:afterAutospacing="off" w:line="240" w:lineRule="auto"/>
        <w:rPr>
          <w:rFonts w:ascii="Times New Roman" w:hAnsi="Times New Roman" w:eastAsia="Calibri" w:cs="Times New Roman"/>
          <w:b w:val="1"/>
          <w:bCs w:val="1"/>
          <w:sz w:val="24"/>
          <w:szCs w:val="24"/>
        </w:rPr>
      </w:pPr>
      <w:r w:rsidRPr="0AB64B47" w:rsidR="007842FB">
        <w:rPr>
          <w:rFonts w:ascii="Times New Roman" w:hAnsi="Times New Roman" w:eastAsia="Calibri" w:cs="Times New Roman"/>
          <w:b w:val="1"/>
          <w:bCs w:val="1"/>
          <w:sz w:val="24"/>
          <w:szCs w:val="24"/>
        </w:rPr>
        <w:t>4.</w:t>
      </w:r>
      <w:r w:rsidRPr="0AB64B47" w:rsidR="007842FB">
        <w:rPr>
          <w:rFonts w:ascii="Times New Roman" w:hAnsi="Times New Roman" w:eastAsia="Calibri" w:cs="Times New Roman"/>
          <w:sz w:val="24"/>
          <w:szCs w:val="24"/>
        </w:rPr>
        <w:t xml:space="preserve"> </w:t>
      </w:r>
      <w:bookmarkStart w:name="_Toc110346578" w:id="61"/>
      <w:r w:rsidRPr="0AB64B47" w:rsidR="007842FB">
        <w:rPr>
          <w:rFonts w:ascii="Times New Roman" w:hAnsi="Times New Roman" w:eastAsia="Calibri" w:cs="Times New Roman"/>
          <w:b w:val="1"/>
          <w:bCs w:val="1"/>
          <w:sz w:val="24"/>
          <w:szCs w:val="24"/>
        </w:rPr>
        <w:t>Build America</w:t>
      </w:r>
      <w:r w:rsidRPr="0AB64B47" w:rsidR="007842FB">
        <w:rPr>
          <w:rFonts w:ascii="Times New Roman" w:hAnsi="Times New Roman" w:eastAsia="Calibri" w:cs="Times New Roman"/>
          <w:sz w:val="24"/>
          <w:szCs w:val="24"/>
        </w:rPr>
        <w:t xml:space="preserve">, </w:t>
      </w:r>
      <w:r w:rsidRPr="0AB64B47" w:rsidR="007842FB">
        <w:rPr>
          <w:rFonts w:ascii="Times New Roman" w:hAnsi="Times New Roman" w:eastAsia="Calibri" w:cs="Times New Roman"/>
          <w:b w:val="1"/>
          <w:bCs w:val="1"/>
          <w:sz w:val="24"/>
          <w:szCs w:val="24"/>
        </w:rPr>
        <w:t>Buy America (BABA) Requirements for Infrastructure Projects</w:t>
      </w:r>
      <w:bookmarkEnd w:id="61"/>
    </w:p>
    <w:p w:rsidRPr="007842FB" w:rsidR="007842FB" w:rsidP="0AB64B47" w:rsidRDefault="007842FB" w14:paraId="4ED8D3DB" w14:textId="259EE0F7">
      <w:pPr>
        <w:pStyle w:val="ListParagraph"/>
        <w:spacing w:after="0" w:afterAutospacing="off" w:line="240" w:lineRule="auto"/>
        <w:ind w:left="1440"/>
        <w:rPr>
          <w:rFonts w:ascii="Times New Roman" w:hAnsi="Times New Roman" w:eastAsia="Calibri" w:cs="Times New Roman"/>
          <w:b w:val="1"/>
          <w:bCs w:val="1"/>
          <w:sz w:val="24"/>
          <w:szCs w:val="24"/>
        </w:rPr>
      </w:pPr>
      <w:r w:rsidRPr="0AB64B47" w:rsidR="007842FB">
        <w:rPr>
          <w:rFonts w:ascii="Times New Roman" w:hAnsi="Times New Roman" w:eastAsia="Calibri" w:cs="Times New Roman"/>
          <w:b w:val="1"/>
          <w:bCs w:val="1"/>
          <w:sz w:val="24"/>
          <w:szCs w:val="24"/>
        </w:rPr>
        <w:t>A. Definitions</w:t>
      </w:r>
    </w:p>
    <w:p w:rsidR="5AD6A1E1" w:rsidP="0AB64B47" w:rsidRDefault="5AD6A1E1" w14:paraId="321BA796" w14:textId="4ECCE7F6">
      <w:pPr>
        <w:pStyle w:val="ListParagraph"/>
        <w:numPr>
          <w:ilvl w:val="0"/>
          <w:numId w:val="11"/>
        </w:numPr>
        <w:spacing w:after="0" w:afterAutospacing="off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AB64B47" w:rsidR="5AD6A1E1">
        <w:rPr>
          <w:rFonts w:ascii="Times New Roman" w:hAnsi="Times New Roman" w:eastAsia="Calibri" w:cs="Times New Roman"/>
          <w:sz w:val="24"/>
          <w:szCs w:val="24"/>
        </w:rPr>
        <w:t>Updated definition of Construction materials</w:t>
      </w:r>
      <w:r w:rsidRPr="0AB64B47" w:rsidR="639D0D87">
        <w:rPr>
          <w:rFonts w:ascii="Times New Roman" w:hAnsi="Times New Roman" w:eastAsia="Calibri" w:cs="Times New Roman"/>
          <w:sz w:val="24"/>
          <w:szCs w:val="24"/>
        </w:rPr>
        <w:t xml:space="preserve">. </w:t>
      </w:r>
    </w:p>
    <w:p w:rsidRPr="00FE3283" w:rsidR="00FE3283" w:rsidP="0AB64B47" w:rsidRDefault="00FE3283" w14:paraId="741B1711" w14:textId="18954178">
      <w:pPr>
        <w:pStyle w:val="ListParagraph"/>
        <w:numPr>
          <w:ilvl w:val="0"/>
          <w:numId w:val="11"/>
        </w:numPr>
        <w:spacing w:after="0" w:afterAutospacing="off" w:line="240" w:lineRule="auto"/>
        <w:rPr>
          <w:rFonts w:ascii="Times New Roman" w:hAnsi="Times New Roman" w:eastAsia="Calibri" w:cs="Times New Roman"/>
          <w:b w:val="0"/>
          <w:bCs w:val="0"/>
          <w:sz w:val="24"/>
          <w:szCs w:val="24"/>
        </w:rPr>
      </w:pPr>
      <w:r w:rsidRPr="0AB64B47" w:rsidR="639D0D87">
        <w:rPr>
          <w:rFonts w:ascii="Times New Roman" w:hAnsi="Times New Roman" w:eastAsia="Calibri" w:cs="Times New Roman"/>
          <w:b w:val="0"/>
          <w:bCs w:val="0"/>
          <w:sz w:val="24"/>
          <w:szCs w:val="24"/>
        </w:rPr>
        <w:t>Encourages Grantees consider BABA applie</w:t>
      </w:r>
      <w:r w:rsidRPr="0AB64B47" w:rsidR="6A2C6EE4">
        <w:rPr>
          <w:rFonts w:ascii="Times New Roman" w:hAnsi="Times New Roman" w:eastAsia="Calibri" w:cs="Times New Roman"/>
          <w:b w:val="0"/>
          <w:bCs w:val="0"/>
          <w:sz w:val="24"/>
          <w:szCs w:val="24"/>
        </w:rPr>
        <w:t xml:space="preserve">s to “public” infrastructure projects during the application </w:t>
      </w:r>
      <w:r w:rsidRPr="0AB64B47" w:rsidR="00FE3283">
        <w:rPr>
          <w:rFonts w:ascii="Times New Roman" w:hAnsi="Times New Roman" w:eastAsia="Calibri" w:cs="Times New Roman"/>
          <w:b w:val="0"/>
          <w:bCs w:val="0"/>
          <w:sz w:val="24"/>
          <w:szCs w:val="24"/>
        </w:rPr>
        <w:t>in order to</w:t>
      </w:r>
      <w:r w:rsidRPr="0AB64B47" w:rsidR="00FE3283">
        <w:rPr>
          <w:rFonts w:ascii="Times New Roman" w:hAnsi="Times New Roman" w:eastAsia="Calibri" w:cs="Times New Roman"/>
          <w:b w:val="0"/>
          <w:bCs w:val="0"/>
          <w:sz w:val="24"/>
          <w:szCs w:val="24"/>
        </w:rPr>
        <w:t xml:space="preserve"> consider potential budget or schedule changes as early as possible</w:t>
      </w:r>
      <w:r w:rsidRPr="0AB64B47" w:rsidR="00FE3283">
        <w:rPr>
          <w:rFonts w:ascii="Times New Roman" w:hAnsi="Times New Roman" w:eastAsia="Calibri" w:cs="Times New Roman"/>
          <w:b w:val="0"/>
          <w:bCs w:val="0"/>
          <w:sz w:val="24"/>
          <w:szCs w:val="24"/>
        </w:rPr>
        <w:t>.</w:t>
      </w:r>
    </w:p>
    <w:p w:rsidRPr="00FE3283" w:rsidR="00FE3283" w:rsidP="0AB64B47" w:rsidRDefault="00FE3283" w14:paraId="10059D0B" w14:textId="77777777" w14:noSpellErr="1">
      <w:pPr>
        <w:pStyle w:val="ListParagraph"/>
        <w:spacing w:after="0" w:afterAutospacing="off" w:line="240" w:lineRule="auto"/>
        <w:ind w:left="1440"/>
        <w:rPr>
          <w:rFonts w:ascii="Times New Roman" w:hAnsi="Times New Roman" w:eastAsia="Calibri" w:cs="Times New Roman"/>
          <w:b w:val="1"/>
          <w:bCs w:val="1"/>
          <w:sz w:val="24"/>
          <w:szCs w:val="24"/>
        </w:rPr>
      </w:pPr>
      <w:r w:rsidRPr="0AB64B47" w:rsidR="00FE3283">
        <w:rPr>
          <w:rFonts w:ascii="Times New Roman" w:hAnsi="Times New Roman" w:eastAsia="Calibri" w:cs="Times New Roman"/>
          <w:b w:val="1"/>
          <w:bCs w:val="1"/>
          <w:sz w:val="24"/>
          <w:szCs w:val="24"/>
        </w:rPr>
        <w:t xml:space="preserve">B. BABA Requirements for Infrastructure Projects </w:t>
      </w:r>
    </w:p>
    <w:p w:rsidR="00DC110B" w:rsidP="0AB64B47" w:rsidRDefault="00FE3283" w14:paraId="447CAFF1" w14:textId="17EE8DF3">
      <w:pPr>
        <w:pStyle w:val="ListParagraph"/>
        <w:suppressLineNumbers w:val="0"/>
        <w:bidi w:val="0"/>
        <w:spacing w:before="0" w:beforeAutospacing="off" w:after="0" w:afterAutospacing="off" w:line="240" w:lineRule="auto"/>
        <w:ind w:left="1440" w:right="0"/>
        <w:jc w:val="left"/>
        <w:rPr>
          <w:rFonts w:ascii="Times New Roman" w:hAnsi="Times New Roman" w:eastAsia="Calibri" w:cs="Times New Roman"/>
          <w:sz w:val="24"/>
          <w:szCs w:val="24"/>
        </w:rPr>
      </w:pPr>
      <w:r w:rsidRPr="00FE3283" w:rsidR="00FE3283">
        <w:rPr>
          <w:rFonts w:ascii="Times New Roman" w:hAnsi="Times New Roman" w:eastAsia="Calibri" w:cs="Times New Roman"/>
          <w:sz w:val="24"/>
          <w:szCs w:val="24"/>
        </w:rPr>
        <w:t xml:space="preserve">(2) </w:t>
      </w:r>
      <w:r w:rsidRPr="0AB64B47" w:rsidR="26219C8F">
        <w:rPr>
          <w:rFonts w:ascii="Times New Roman" w:hAnsi="Times New Roman" w:eastAsia="Calibri" w:cs="Times New Roman"/>
          <w:sz w:val="24"/>
          <w:szCs w:val="24"/>
        </w:rPr>
        <w:t xml:space="preserve">Updated footnote. </w:t>
      </w:r>
    </w:p>
    <w:p w:rsidR="001B407C" w:rsidP="0AB64B47" w:rsidRDefault="001B407C" w14:paraId="1B65F507" w14:textId="1DEC1940">
      <w:pPr>
        <w:spacing w:after="0" w:afterAutospacing="off" w:line="240" w:lineRule="auto"/>
        <w:ind w:left="1440"/>
        <w:rPr>
          <w:rFonts w:ascii="Times New Roman" w:hAnsi="Times New Roman" w:eastAsia="Calibri" w:cs="Times New Roman"/>
          <w:sz w:val="24"/>
          <w:szCs w:val="24"/>
        </w:rPr>
      </w:pPr>
      <w:r w:rsidRPr="0AB64B47" w:rsidR="001B407C">
        <w:rPr>
          <w:rFonts w:ascii="Times New Roman" w:hAnsi="Times New Roman" w:eastAsia="Calibri" w:cs="Times New Roman"/>
          <w:sz w:val="24"/>
          <w:szCs w:val="24"/>
        </w:rPr>
        <w:t>(3)</w:t>
      </w:r>
      <w:r w:rsidRPr="0AB64B47" w:rsidR="67052C93">
        <w:rPr>
          <w:rFonts w:ascii="Times New Roman" w:hAnsi="Times New Roman" w:eastAsia="Calibri" w:cs="Times New Roman"/>
          <w:sz w:val="24"/>
          <w:szCs w:val="24"/>
        </w:rPr>
        <w:t xml:space="preserve"> Updated Buy America Implementation Guidance document link. </w:t>
      </w:r>
    </w:p>
    <w:p w:rsidR="0AB64B47" w:rsidP="0AB64B47" w:rsidRDefault="0AB64B47" w14:paraId="03CDC583" w14:textId="4DC2A31E">
      <w:pPr>
        <w:pStyle w:val="Normal"/>
        <w:spacing w:after="0" w:afterAutospacing="off" w:line="240" w:lineRule="auto"/>
        <w:ind w:left="1440"/>
        <w:rPr>
          <w:rFonts w:ascii="Times New Roman" w:hAnsi="Times New Roman" w:eastAsia="Calibri" w:cs="Times New Roman"/>
          <w:sz w:val="24"/>
          <w:szCs w:val="24"/>
        </w:rPr>
      </w:pPr>
    </w:p>
    <w:p w:rsidRPr="00FE3283" w:rsidR="00FE3283" w:rsidP="0AB64B47" w:rsidRDefault="00FE3283" w14:paraId="5834D0E5" w14:textId="5F1A5E35" w14:noSpellErr="1">
      <w:pPr>
        <w:pStyle w:val="ListParagraph"/>
        <w:numPr>
          <w:ilvl w:val="0"/>
          <w:numId w:val="1"/>
        </w:numPr>
        <w:spacing w:after="0" w:afterAutospacing="off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bookmarkStart w:name="_Toc532213279" w:id="100"/>
      <w:r w:rsidRPr="0AB64B47" w:rsidR="00FE3283">
        <w:rPr>
          <w:rFonts w:ascii="Times New Roman" w:hAnsi="Times New Roman" w:cs="Times New Roman"/>
          <w:b w:val="1"/>
          <w:bCs w:val="1"/>
          <w:sz w:val="24"/>
          <w:szCs w:val="24"/>
        </w:rPr>
        <w:t>REFERENCE MATERIAL</w:t>
      </w:r>
      <w:bookmarkEnd w:id="100"/>
    </w:p>
    <w:p w:rsidR="5955F89A" w:rsidP="0AB64B47" w:rsidRDefault="5955F89A" w14:paraId="63D31DDE" w14:textId="5AF2EDD7">
      <w:pPr>
        <w:pStyle w:val="ListParagraph"/>
        <w:spacing w:after="0" w:afterAutospacing="off" w:line="240" w:lineRule="auto"/>
        <w:ind w:left="720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0AB64B47" w:rsidR="5955F89A">
        <w:rPr>
          <w:rFonts w:ascii="Times New Roman" w:hAnsi="Times New Roman" w:cs="Times New Roman"/>
          <w:b w:val="0"/>
          <w:bCs w:val="0"/>
          <w:sz w:val="24"/>
          <w:szCs w:val="24"/>
        </w:rPr>
        <w:t>Updated to include NEPA determinations for both Recipients with a Historic Preservation Programmatic Agreement and for those without a Historic Preservation Programmatic Agreement</w:t>
      </w:r>
    </w:p>
    <w:p w:rsidR="0AB64B47" w:rsidP="0AB64B47" w:rsidRDefault="0AB64B47" w14:paraId="3D4C9A0D" w14:textId="1C5810C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20"/>
        <w:jc w:val="left"/>
        <w:rPr>
          <w:rFonts w:ascii="Times New Roman" w:hAnsi="Times New Roman" w:cs="Times New Roman"/>
          <w:sz w:val="24"/>
          <w:szCs w:val="24"/>
        </w:rPr>
      </w:pPr>
    </w:p>
    <w:p w:rsidRPr="00FE3283" w:rsidR="00FE3283" w:rsidP="0AB64B47" w:rsidRDefault="00FE3283" w14:paraId="6FF10148" w14:noSpellErr="1" w14:textId="39BB48AE">
      <w:pPr>
        <w:spacing w:after="12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Pr="00FE3283" w:rsidR="00FE3283">
      <w:footnotePr>
        <w:numRestart w:val="eachPage"/>
      </w:footnote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52661" w:rsidP="007842FB" w:rsidRDefault="00F52661" w14:paraId="0F020471" w14:textId="77777777">
      <w:pPr>
        <w:spacing w:after="0" w:line="240" w:lineRule="auto"/>
      </w:pPr>
      <w:r>
        <w:separator/>
      </w:r>
    </w:p>
  </w:endnote>
  <w:endnote w:type="continuationSeparator" w:id="0">
    <w:p w:rsidR="00F52661" w:rsidP="007842FB" w:rsidRDefault="00F52661" w14:paraId="202040B0" w14:textId="77777777">
      <w:pPr>
        <w:spacing w:after="0" w:line="240" w:lineRule="auto"/>
      </w:pPr>
      <w:r>
        <w:continuationSeparator/>
      </w:r>
    </w:p>
  </w:endnote>
  <w:endnote w:type="continuationNotice" w:id="1">
    <w:p w:rsidR="00F52661" w:rsidRDefault="00F52661" w14:paraId="0E22F62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52661" w:rsidP="007842FB" w:rsidRDefault="00F52661" w14:paraId="055CF442" w14:textId="77777777">
      <w:pPr>
        <w:spacing w:after="0" w:line="240" w:lineRule="auto"/>
      </w:pPr>
      <w:r>
        <w:separator/>
      </w:r>
    </w:p>
  </w:footnote>
  <w:footnote w:type="continuationSeparator" w:id="0">
    <w:p w:rsidR="00F52661" w:rsidP="007842FB" w:rsidRDefault="00F52661" w14:paraId="2BF9E40D" w14:textId="77777777">
      <w:pPr>
        <w:spacing w:after="0" w:line="240" w:lineRule="auto"/>
      </w:pPr>
      <w:r>
        <w:continuationSeparator/>
      </w:r>
    </w:p>
  </w:footnote>
  <w:footnote w:type="continuationNotice" w:id="1">
    <w:p w:rsidR="00F52661" w:rsidRDefault="00F52661" w14:paraId="3FFF80C1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0">
    <w:nsid w:val="2f2291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aca85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0FF151BE"/>
    <w:multiLevelType w:val="hybridMultilevel"/>
    <w:tmpl w:val="7DE083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E52B90"/>
    <w:multiLevelType w:val="hybridMultilevel"/>
    <w:tmpl w:val="4B6269E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E11939"/>
    <w:multiLevelType w:val="hybridMultilevel"/>
    <w:tmpl w:val="6AB4FE50"/>
    <w:lvl w:ilvl="0" w:tplc="0F1284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AE40CE"/>
    <w:multiLevelType w:val="multilevel"/>
    <w:tmpl w:val="1A98B9A2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017618E"/>
    <w:multiLevelType w:val="hybridMultilevel"/>
    <w:tmpl w:val="FFFFFFFF"/>
    <w:lvl w:ilvl="0" w:tplc="EB6045F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6FE89D2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DF6EFF6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AE7A272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6D9676E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B270F12C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A93C0C9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CCBE2B26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BE5C7174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10A3E12"/>
    <w:multiLevelType w:val="multilevel"/>
    <w:tmpl w:val="B10CC1F6"/>
    <w:lvl w:ilvl="0">
      <w:start w:val="1"/>
      <w:numFmt w:val="decimal"/>
      <w:lvlText w:val="%1.0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28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" w15:restartNumberingAfterBreak="0">
    <w:nsid w:val="358A245F"/>
    <w:multiLevelType w:val="multilevel"/>
    <w:tmpl w:val="19D0C6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DC7AB5D"/>
    <w:multiLevelType w:val="hybridMultilevel"/>
    <w:tmpl w:val="CAA47E7E"/>
    <w:lvl w:ilvl="0" w:tplc="4230790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98D0F816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F7087BAC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EAF42C06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5810D582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8DF2261C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77789F30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7AC8E666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76E6F7D2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8" w15:restartNumberingAfterBreak="0">
    <w:nsid w:val="4CAAF24F"/>
    <w:multiLevelType w:val="hybridMultilevel"/>
    <w:tmpl w:val="9256874E"/>
    <w:lvl w:ilvl="0" w:tplc="3EF0DA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4AFF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F0D8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0EB4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6AEF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52CB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D690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12D1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A26D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0"/>
  </w:num>
  <w:num w:numId="10">
    <w:abstractNumId w:val="9"/>
  </w:num>
  <w:num w:numId="1" w16cid:durableId="1006398631">
    <w:abstractNumId w:val="1"/>
  </w:num>
  <w:num w:numId="2" w16cid:durableId="1355501802">
    <w:abstractNumId w:val="2"/>
  </w:num>
  <w:num w:numId="3" w16cid:durableId="831141719">
    <w:abstractNumId w:val="8"/>
  </w:num>
  <w:num w:numId="4" w16cid:durableId="782918224">
    <w:abstractNumId w:val="5"/>
  </w:num>
  <w:num w:numId="5" w16cid:durableId="2018606626">
    <w:abstractNumId w:val="4"/>
  </w:num>
  <w:num w:numId="6" w16cid:durableId="1751611980">
    <w:abstractNumId w:val="3"/>
  </w:num>
  <w:num w:numId="7" w16cid:durableId="942767246">
    <w:abstractNumId w:val="7"/>
  </w:num>
  <w:num w:numId="8" w16cid:durableId="2026058368">
    <w:abstractNumId w:val="0"/>
  </w:num>
  <w:num w:numId="9" w16cid:durableId="1349332398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Rains, Amanda">
    <w15:presenceInfo w15:providerId="AD" w15:userId="S::amanda.rains@hq.doe.gov::10076e8b-a539-4917-8e3e-4da92eb6ea07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trackRevisions w:val="false"/>
  <w:defaultTabStop w:val="720"/>
  <w:characterSpacingControl w:val="doNotCompress"/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0B"/>
    <w:rsid w:val="0005493D"/>
    <w:rsid w:val="000F5B2F"/>
    <w:rsid w:val="0010315A"/>
    <w:rsid w:val="00156521"/>
    <w:rsid w:val="001B407C"/>
    <w:rsid w:val="003A0EF7"/>
    <w:rsid w:val="003C7731"/>
    <w:rsid w:val="003D3DBE"/>
    <w:rsid w:val="00566980"/>
    <w:rsid w:val="00566C26"/>
    <w:rsid w:val="005962B9"/>
    <w:rsid w:val="00600D80"/>
    <w:rsid w:val="0070623C"/>
    <w:rsid w:val="007842FB"/>
    <w:rsid w:val="007B003A"/>
    <w:rsid w:val="00852372"/>
    <w:rsid w:val="008B3BA6"/>
    <w:rsid w:val="00A129BC"/>
    <w:rsid w:val="00A646D7"/>
    <w:rsid w:val="00B34CDE"/>
    <w:rsid w:val="00B442D0"/>
    <w:rsid w:val="00CF5778"/>
    <w:rsid w:val="00D74453"/>
    <w:rsid w:val="00DC110B"/>
    <w:rsid w:val="00F30B57"/>
    <w:rsid w:val="00F52661"/>
    <w:rsid w:val="00F5570B"/>
    <w:rsid w:val="00F86454"/>
    <w:rsid w:val="00FC2074"/>
    <w:rsid w:val="00FE3283"/>
    <w:rsid w:val="01AD4E95"/>
    <w:rsid w:val="052E2C59"/>
    <w:rsid w:val="05C6C68B"/>
    <w:rsid w:val="08399379"/>
    <w:rsid w:val="08562184"/>
    <w:rsid w:val="08B53FC1"/>
    <w:rsid w:val="0A573453"/>
    <w:rsid w:val="0AB64B47"/>
    <w:rsid w:val="0AFFE760"/>
    <w:rsid w:val="0BDCFF01"/>
    <w:rsid w:val="0CE25C37"/>
    <w:rsid w:val="0E38932F"/>
    <w:rsid w:val="0E60FE6C"/>
    <w:rsid w:val="0F6372BE"/>
    <w:rsid w:val="103B600F"/>
    <w:rsid w:val="10771145"/>
    <w:rsid w:val="133D47D0"/>
    <w:rsid w:val="15940A58"/>
    <w:rsid w:val="15FE862F"/>
    <w:rsid w:val="1AC860DE"/>
    <w:rsid w:val="1C39A71D"/>
    <w:rsid w:val="1CE8E7B7"/>
    <w:rsid w:val="1F53F3AA"/>
    <w:rsid w:val="207819DD"/>
    <w:rsid w:val="211D5D9F"/>
    <w:rsid w:val="2258ADC0"/>
    <w:rsid w:val="234454D8"/>
    <w:rsid w:val="236455A8"/>
    <w:rsid w:val="23703A50"/>
    <w:rsid w:val="246FAC4E"/>
    <w:rsid w:val="24AA597B"/>
    <w:rsid w:val="260D09B0"/>
    <w:rsid w:val="26219C8F"/>
    <w:rsid w:val="26D11E91"/>
    <w:rsid w:val="27F74A0E"/>
    <w:rsid w:val="2CC76260"/>
    <w:rsid w:val="2ED7DF7F"/>
    <w:rsid w:val="2EF442AE"/>
    <w:rsid w:val="2F0EADC6"/>
    <w:rsid w:val="32721792"/>
    <w:rsid w:val="328608E8"/>
    <w:rsid w:val="344E3659"/>
    <w:rsid w:val="34B1A72B"/>
    <w:rsid w:val="35CDA9AC"/>
    <w:rsid w:val="35D64A96"/>
    <w:rsid w:val="38F6FA55"/>
    <w:rsid w:val="403B1EAC"/>
    <w:rsid w:val="445AB712"/>
    <w:rsid w:val="44AF5BD1"/>
    <w:rsid w:val="46EBB0C0"/>
    <w:rsid w:val="4721179E"/>
    <w:rsid w:val="473EE20D"/>
    <w:rsid w:val="49B781B2"/>
    <w:rsid w:val="4BBA7E99"/>
    <w:rsid w:val="4BE0D065"/>
    <w:rsid w:val="4C209B6B"/>
    <w:rsid w:val="4CBD3B40"/>
    <w:rsid w:val="501996C9"/>
    <w:rsid w:val="509C731F"/>
    <w:rsid w:val="52631BEF"/>
    <w:rsid w:val="53FBE2F5"/>
    <w:rsid w:val="542EC5C4"/>
    <w:rsid w:val="54B6B9AD"/>
    <w:rsid w:val="5579328B"/>
    <w:rsid w:val="5654B618"/>
    <w:rsid w:val="57F8EF3C"/>
    <w:rsid w:val="5955F89A"/>
    <w:rsid w:val="5A14C749"/>
    <w:rsid w:val="5AD6A1E1"/>
    <w:rsid w:val="5B1C2B29"/>
    <w:rsid w:val="5F186D9F"/>
    <w:rsid w:val="5FF48673"/>
    <w:rsid w:val="614A1AD4"/>
    <w:rsid w:val="62296E1E"/>
    <w:rsid w:val="62B6EB32"/>
    <w:rsid w:val="639D0D87"/>
    <w:rsid w:val="6566014F"/>
    <w:rsid w:val="65D39E27"/>
    <w:rsid w:val="66E802E1"/>
    <w:rsid w:val="67052C93"/>
    <w:rsid w:val="672A7E4F"/>
    <w:rsid w:val="689810EF"/>
    <w:rsid w:val="692A45EE"/>
    <w:rsid w:val="6A2C6EE4"/>
    <w:rsid w:val="6AE91A6D"/>
    <w:rsid w:val="6BEAAAD1"/>
    <w:rsid w:val="6DFEA079"/>
    <w:rsid w:val="6F022806"/>
    <w:rsid w:val="70115F1C"/>
    <w:rsid w:val="72C83137"/>
    <w:rsid w:val="7354A551"/>
    <w:rsid w:val="73651A32"/>
    <w:rsid w:val="74805CE5"/>
    <w:rsid w:val="74D95F6D"/>
    <w:rsid w:val="75177ACC"/>
    <w:rsid w:val="7A719D7D"/>
    <w:rsid w:val="7BEED50A"/>
    <w:rsid w:val="7C849D33"/>
    <w:rsid w:val="7CBEF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541E7"/>
  <w15:chartTrackingRefBased/>
  <w15:docId w15:val="{D1E797ED-B232-4B3A-B88C-98CEB34B30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10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10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C110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C110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C110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C110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C110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C110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C110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C110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C1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110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C110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C1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110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C1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1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1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10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C1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11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7842FB"/>
    <w:rPr>
      <w:color w:val="0000FF"/>
      <w:u w:val="single"/>
    </w:rPr>
  </w:style>
  <w:style w:type="paragraph" w:styleId="Default" w:customStyle="1">
    <w:name w:val="Default"/>
    <w:rsid w:val="007842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7842FB"/>
    <w:pPr>
      <w:spacing w:after="0" w:line="240" w:lineRule="auto"/>
    </w:pPr>
    <w:rPr>
      <w:kern w:val="0"/>
      <w:sz w:val="20"/>
      <w:szCs w:val="20"/>
      <w14:ligatures w14:val="none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7842FB"/>
    <w:rPr>
      <w:kern w:val="0"/>
      <w:sz w:val="20"/>
      <w:szCs w:val="20"/>
      <w14:ligatures w14:val="none"/>
    </w:rPr>
  </w:style>
  <w:style w:type="character" w:styleId="FootnoteReference">
    <w:name w:val="footnote reference"/>
    <w:aliases w:val="o,fr,Style 16,o1,fr1,o2,fr2,o3,fr3,Style 13,Style 12,Style 15,Style 17,Style 9,Style 18,(NECG) Footnote Reference,Style 20,Style 7,Styl"/>
    <w:basedOn w:val="DefaultParagraphFont"/>
    <w:unhideWhenUsed/>
    <w:rsid w:val="007842FB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rsid w:val="00CF5778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F5778"/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CF577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D3DB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DBE"/>
    <w:pPr>
      <w:spacing w:after="160"/>
    </w:pPr>
    <w:rPr>
      <w:rFonts w:asciiTheme="minorHAnsi" w:hAnsiTheme="minorHAnsi" w:eastAsiaTheme="minorHAnsi" w:cstheme="minorBidi"/>
      <w:b/>
      <w:bCs/>
      <w:kern w:val="2"/>
      <w14:ligatures w14:val="standardContextual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D3DBE"/>
    <w:rPr>
      <w:rFonts w:ascii="Times New Roman" w:hAnsi="Times New Roman" w:eastAsia="Times New Roman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A129B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A129BC"/>
  </w:style>
  <w:style w:type="paragraph" w:styleId="Footer">
    <w:name w:val="footer"/>
    <w:basedOn w:val="Normal"/>
    <w:link w:val="FooterChar"/>
    <w:uiPriority w:val="99"/>
    <w:semiHidden/>
    <w:unhideWhenUsed/>
    <w:rsid w:val="00A129B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A12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microsoft.com/office/2016/09/relationships/commentsIds" Target="commentsIds.xml" Id="rId17" /><Relationship Type="http://schemas.openxmlformats.org/officeDocument/2006/relationships/customXml" Target="../customXml/item2.xml" Id="rId2" /><Relationship Type="http://schemas.microsoft.com/office/2011/relationships/commentsExtended" Target="commentsExtended.xm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958B31957894A92BF408BEC75495A" ma:contentTypeVersion="15" ma:contentTypeDescription="Create a new document." ma:contentTypeScope="" ma:versionID="dfdccd0c3611813be5871877e070faa2">
  <xsd:schema xmlns:xsd="http://www.w3.org/2001/XMLSchema" xmlns:xs="http://www.w3.org/2001/XMLSchema" xmlns:p="http://schemas.microsoft.com/office/2006/metadata/properties" xmlns:ns2="bc4d3709-fb5e-4ea2-a83d-54a854e6b375" xmlns:ns3="5d109f06-97e0-4f6f-b626-bbf47fcfae7d" targetNamespace="http://schemas.microsoft.com/office/2006/metadata/properties" ma:root="true" ma:fieldsID="fe8c112b5ee22b3469881adc64ba6a53" ns2:_="" ns3:_="">
    <xsd:import namespace="bc4d3709-fb5e-4ea2-a83d-54a854e6b375"/>
    <xsd:import namespace="5d109f06-97e0-4f6f-b626-bbf47fcfa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d3709-fb5e-4ea2-a83d-54a854e6b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6d46bd7-4a58-4bc0-a217-7245e6e704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9f06-97e0-4f6f-b626-bbf47fcfae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9cce79-286b-4bc8-9416-82c187ba037a}" ma:internalName="TaxCatchAll" ma:showField="CatchAllData" ma:web="5d109f06-97e0-4f6f-b626-bbf47fcfa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4d3709-fb5e-4ea2-a83d-54a854e6b375">
      <Terms xmlns="http://schemas.microsoft.com/office/infopath/2007/PartnerControls"/>
    </lcf76f155ced4ddcb4097134ff3c332f>
    <TaxCatchAll xmlns="5d109f06-97e0-4f6f-b626-bbf47fcfae7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F4513-461D-4F05-A495-3FFC31657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d3709-fb5e-4ea2-a83d-54a854e6b375"/>
    <ds:schemaRef ds:uri="5d109f06-97e0-4f6f-b626-bbf47fcfa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114044-6618-4F70-92D2-167B292568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4111D1-FF2E-42D3-A5C5-A6821BCD08BE}">
  <ds:schemaRefs>
    <ds:schemaRef ds:uri="http://schemas.microsoft.com/office/2006/metadata/properties"/>
    <ds:schemaRef ds:uri="http://schemas.microsoft.com/office/infopath/2007/PartnerControls"/>
    <ds:schemaRef ds:uri="bc4d3709-fb5e-4ea2-a83d-54a854e6b375"/>
    <ds:schemaRef ds:uri="5d109f06-97e0-4f6f-b626-bbf47fcfae7d"/>
  </ds:schemaRefs>
</ds:datastoreItem>
</file>

<file path=customXml/itemProps4.xml><?xml version="1.0" encoding="utf-8"?>
<ds:datastoreItem xmlns:ds="http://schemas.openxmlformats.org/officeDocument/2006/customXml" ds:itemID="{091EB4DC-C0FE-4C67-B382-64FE15DDE2E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Kerry Varley</dc:creator>
  <keywords/>
  <dc:description/>
  <lastModifiedBy>Rains, Amanda</lastModifiedBy>
  <revision>9</revision>
  <dcterms:created xsi:type="dcterms:W3CDTF">2024-12-13T02:44:00.0000000Z</dcterms:created>
  <dcterms:modified xsi:type="dcterms:W3CDTF">2024-12-13T19:40:42.5716656Z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0x010100970958B31957894A92BF408BEC75495A</vt:lpwstr>
  </property>
  <property fmtid="{D5CDD505-2E9C-101B-9397-08002B2CF9AE}" pid="3" name="MediaServiceImageTags">
    <vt:lpwstr/>
  </property>
</Properties>
</file>