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5305" w14:textId="51C989AB" w:rsidR="007F74C2" w:rsidRPr="003C095A" w:rsidRDefault="00E1178C" w:rsidP="00E1178C">
      <w:pPr>
        <w:jc w:val="center"/>
        <w:rPr>
          <w:b/>
          <w:bCs/>
        </w:rPr>
      </w:pPr>
      <w:r w:rsidRPr="60A0686C">
        <w:rPr>
          <w:b/>
          <w:bCs/>
        </w:rPr>
        <w:t xml:space="preserve">Diversity, Equity, Inclusion (DEI) </w:t>
      </w:r>
      <w:r w:rsidR="003B53E2">
        <w:rPr>
          <w:b/>
          <w:bCs/>
        </w:rPr>
        <w:t xml:space="preserve">and </w:t>
      </w:r>
      <w:r w:rsidR="00524A06" w:rsidRPr="60A0686C">
        <w:rPr>
          <w:b/>
          <w:bCs/>
        </w:rPr>
        <w:t xml:space="preserve">Community </w:t>
      </w:r>
      <w:r w:rsidR="00A86536" w:rsidRPr="60A0686C">
        <w:rPr>
          <w:b/>
          <w:bCs/>
        </w:rPr>
        <w:t>Benefits (CB</w:t>
      </w:r>
      <w:r w:rsidR="00524A06" w:rsidRPr="60A0686C">
        <w:rPr>
          <w:b/>
          <w:bCs/>
        </w:rPr>
        <w:t xml:space="preserve">) </w:t>
      </w:r>
      <w:r w:rsidRPr="60A0686C">
        <w:rPr>
          <w:b/>
          <w:bCs/>
        </w:rPr>
        <w:t>Plan Template</w:t>
      </w:r>
    </w:p>
    <w:p w14:paraId="39C95886" w14:textId="5E75495F" w:rsidR="008B0BF4" w:rsidRPr="008B0BF4" w:rsidRDefault="00F8128B" w:rsidP="00E1178C">
      <w:r w:rsidRPr="003C095A">
        <w:rPr>
          <w:b/>
          <w:bCs/>
        </w:rPr>
        <w:t>Purpose</w:t>
      </w:r>
      <w:r w:rsidR="008B0BF4">
        <w:br/>
      </w:r>
      <w:r w:rsidR="00271813">
        <w:t>D</w:t>
      </w:r>
      <w:r w:rsidR="003C0DF2">
        <w:t>iversity Equity and Inclusion (DEI)</w:t>
      </w:r>
      <w:r w:rsidR="00271813">
        <w:t xml:space="preserve"> and C</w:t>
      </w:r>
      <w:r w:rsidR="003C0DF2">
        <w:t xml:space="preserve">ommunity </w:t>
      </w:r>
      <w:r w:rsidR="00A86536">
        <w:t>Benefits (</w:t>
      </w:r>
      <w:r w:rsidR="003C0DF2">
        <w:t>C</w:t>
      </w:r>
      <w:r w:rsidR="00A86536">
        <w:t>B</w:t>
      </w:r>
      <w:r w:rsidR="003C0DF2">
        <w:t>)</w:t>
      </w:r>
      <w:r w:rsidR="00271813">
        <w:t xml:space="preserve"> plans help organizations s</w:t>
      </w:r>
      <w:r w:rsidR="00271BC9">
        <w:t xml:space="preserve">trive toward </w:t>
      </w:r>
      <w:r w:rsidR="00145309">
        <w:t xml:space="preserve">fairness </w:t>
      </w:r>
      <w:r w:rsidR="00F36EF0">
        <w:t xml:space="preserve">and </w:t>
      </w:r>
      <w:r w:rsidR="00851ECF">
        <w:t>work</w:t>
      </w:r>
      <w:r w:rsidR="00842069">
        <w:t xml:space="preserve"> to benefit the </w:t>
      </w:r>
      <w:r w:rsidR="00271BC9">
        <w:t>communities</w:t>
      </w:r>
      <w:r w:rsidR="00842069">
        <w:t xml:space="preserve"> they engage</w:t>
      </w:r>
      <w:r w:rsidR="00F36EF0">
        <w:t xml:space="preserve">. </w:t>
      </w:r>
      <w:r w:rsidR="00271BC9">
        <w:t xml:space="preserve">The Weatherization Assistance Program (WAP) has created this combined DEI </w:t>
      </w:r>
      <w:r w:rsidR="003640AB">
        <w:t>and</w:t>
      </w:r>
      <w:r w:rsidR="00271BC9">
        <w:t xml:space="preserve"> C</w:t>
      </w:r>
      <w:r w:rsidR="00A86536">
        <w:t>B</w:t>
      </w:r>
      <w:r w:rsidR="00271BC9">
        <w:t xml:space="preserve"> Plan</w:t>
      </w:r>
      <w:r w:rsidR="003640AB">
        <w:t xml:space="preserve"> (DEI + C</w:t>
      </w:r>
      <w:r w:rsidR="00A86536">
        <w:t>B</w:t>
      </w:r>
      <w:r w:rsidR="008B7FD1">
        <w:t xml:space="preserve"> plan</w:t>
      </w:r>
      <w:r w:rsidR="003640AB">
        <w:t>)</w:t>
      </w:r>
      <w:r w:rsidR="00271BC9">
        <w:t xml:space="preserve"> template </w:t>
      </w:r>
      <w:r w:rsidR="00361237">
        <w:t xml:space="preserve">to </w:t>
      </w:r>
      <w:r w:rsidR="00130D2F">
        <w:t>outlin</w:t>
      </w:r>
      <w:r w:rsidR="004C3CF1">
        <w:t xml:space="preserve">e what </w:t>
      </w:r>
      <w:r w:rsidR="00361237">
        <w:t xml:space="preserve">the program is looking for </w:t>
      </w:r>
      <w:r w:rsidR="003640AB">
        <w:t xml:space="preserve">from entities applying to its competitive funding opportunities. </w:t>
      </w:r>
      <w:r w:rsidR="008B7FD1">
        <w:t>Note that</w:t>
      </w:r>
      <w:r w:rsidR="009C45E2">
        <w:t xml:space="preserve"> this template is optional;</w:t>
      </w:r>
      <w:r w:rsidR="008B7FD1">
        <w:t xml:space="preserve"> </w:t>
      </w:r>
      <w:r w:rsidR="009C45E2">
        <w:t>a</w:t>
      </w:r>
      <w:r w:rsidR="00C4176C">
        <w:t xml:space="preserve">pplicants are </w:t>
      </w:r>
      <w:r w:rsidR="008B7FD1">
        <w:t xml:space="preserve">welcome to submit their own version of a DEI </w:t>
      </w:r>
      <w:r w:rsidR="00584CC2">
        <w:t>p</w:t>
      </w:r>
      <w:r w:rsidR="008B7FD1">
        <w:t xml:space="preserve">lan </w:t>
      </w:r>
      <w:r w:rsidR="009C45E2">
        <w:t xml:space="preserve">if they prefer. </w:t>
      </w:r>
      <w:r w:rsidR="001B0A84">
        <w:t>There is a 2-page limit for this plan.</w:t>
      </w:r>
      <w:r w:rsidR="00813397">
        <w:t xml:space="preserve"> Applicants may delete this purpose statement and any instructional text prior to submitting the </w:t>
      </w:r>
      <w:r w:rsidR="00584CC2">
        <w:t>p</w:t>
      </w:r>
      <w:r w:rsidR="00813397">
        <w:t>lan.</w:t>
      </w:r>
      <w:r w:rsidR="00EE0A0E">
        <w:t xml:space="preserve"> </w:t>
      </w:r>
    </w:p>
    <w:p w14:paraId="5DC2E714" w14:textId="6D8EF416" w:rsidR="00322442" w:rsidRDefault="000F1457" w:rsidP="00BF48DF">
      <w:r w:rsidRPr="60A0686C">
        <w:rPr>
          <w:i/>
          <w:iCs/>
          <w:u w:val="single"/>
        </w:rPr>
        <w:t xml:space="preserve">Measuring </w:t>
      </w:r>
      <w:r w:rsidR="00F8128B" w:rsidRPr="60A0686C">
        <w:rPr>
          <w:i/>
          <w:iCs/>
          <w:u w:val="single"/>
        </w:rPr>
        <w:t>D</w:t>
      </w:r>
      <w:r w:rsidR="00F87291" w:rsidRPr="60A0686C">
        <w:rPr>
          <w:i/>
          <w:iCs/>
          <w:u w:val="single"/>
        </w:rPr>
        <w:t>iversity, Equity, and Inclusion (DEI)</w:t>
      </w:r>
      <w:r w:rsidR="00F8128B" w:rsidRPr="60A0686C">
        <w:rPr>
          <w:i/>
          <w:iCs/>
          <w:u w:val="single"/>
        </w:rPr>
        <w:t xml:space="preserve"> </w:t>
      </w:r>
      <w:r>
        <w:br/>
      </w:r>
      <w:r w:rsidR="009C45E2">
        <w:t xml:space="preserve">A DEI plan helps organizations set goals </w:t>
      </w:r>
      <w:r w:rsidR="008E7082">
        <w:t xml:space="preserve">for </w:t>
      </w:r>
      <w:r w:rsidR="00CF186A">
        <w:t>c</w:t>
      </w:r>
      <w:r w:rsidR="00CC18B7">
        <w:t xml:space="preserve">reative partnerships that bring diversity of thought </w:t>
      </w:r>
      <w:r w:rsidR="00B60BA1">
        <w:t xml:space="preserve">and experience </w:t>
      </w:r>
      <w:r w:rsidR="00CC18B7">
        <w:t>from various communities to the table</w:t>
      </w:r>
      <w:r w:rsidR="00CF186A">
        <w:t xml:space="preserve">. </w:t>
      </w:r>
    </w:p>
    <w:p w14:paraId="77D8E1C0" w14:textId="2671C40F" w:rsidR="009765DE" w:rsidRPr="002F1ADA" w:rsidRDefault="00DC2D02" w:rsidP="00532032">
      <w:pPr>
        <w:pStyle w:val="ListParagraph"/>
        <w:numPr>
          <w:ilvl w:val="0"/>
          <w:numId w:val="5"/>
        </w:numPr>
        <w:rPr>
          <w:b/>
          <w:bCs/>
        </w:rPr>
      </w:pPr>
      <w:r w:rsidRPr="002F1ADA">
        <w:rPr>
          <w:b/>
          <w:bCs/>
        </w:rPr>
        <w:t xml:space="preserve">What </w:t>
      </w:r>
      <w:r w:rsidR="00EE7988">
        <w:rPr>
          <w:b/>
          <w:bCs/>
        </w:rPr>
        <w:t>are</w:t>
      </w:r>
      <w:r w:rsidRPr="002F1ADA">
        <w:rPr>
          <w:b/>
          <w:bCs/>
        </w:rPr>
        <w:t xml:space="preserve"> your </w:t>
      </w:r>
      <w:r w:rsidR="00F17FAE">
        <w:rPr>
          <w:b/>
          <w:bCs/>
        </w:rPr>
        <w:t>project</w:t>
      </w:r>
      <w:r w:rsidRPr="002F1ADA">
        <w:rPr>
          <w:b/>
          <w:bCs/>
        </w:rPr>
        <w:t xml:space="preserve">’s </w:t>
      </w:r>
      <w:r w:rsidR="00F96E34" w:rsidRPr="002F1ADA">
        <w:rPr>
          <w:b/>
          <w:bCs/>
        </w:rPr>
        <w:t>goals</w:t>
      </w:r>
      <w:r w:rsidRPr="002F1ADA">
        <w:rPr>
          <w:b/>
          <w:bCs/>
        </w:rPr>
        <w:t xml:space="preserve"> </w:t>
      </w:r>
      <w:r w:rsidR="00F96E34" w:rsidRPr="002F1ADA">
        <w:rPr>
          <w:b/>
          <w:bCs/>
        </w:rPr>
        <w:t>for</w:t>
      </w:r>
      <w:r w:rsidRPr="002F1ADA">
        <w:rPr>
          <w:b/>
          <w:bCs/>
        </w:rPr>
        <w:t xml:space="preserve"> staff </w:t>
      </w:r>
      <w:r w:rsidR="008D2535" w:rsidRPr="002F1ADA">
        <w:rPr>
          <w:b/>
          <w:bCs/>
        </w:rPr>
        <w:t xml:space="preserve">and partner </w:t>
      </w:r>
      <w:r w:rsidRPr="002F1ADA">
        <w:rPr>
          <w:b/>
          <w:bCs/>
        </w:rPr>
        <w:t>diversity, equity, and inclusion</w:t>
      </w:r>
      <w:r w:rsidR="00F9501F" w:rsidRPr="002F1ADA">
        <w:rPr>
          <w:b/>
          <w:bCs/>
        </w:rPr>
        <w:t xml:space="preserve"> (DEI)</w:t>
      </w:r>
      <w:r w:rsidRPr="002F1ADA">
        <w:rPr>
          <w:b/>
          <w:bCs/>
        </w:rPr>
        <w:t xml:space="preserve">? </w:t>
      </w:r>
      <w:r w:rsidR="002F1ADA">
        <w:rPr>
          <w:b/>
          <w:bCs/>
        </w:rPr>
        <w:br/>
      </w:r>
    </w:p>
    <w:p w14:paraId="600102C2" w14:textId="23FD21A6" w:rsidR="00B82946" w:rsidRDefault="009765DE" w:rsidP="00134405">
      <w:pPr>
        <w:pStyle w:val="ListParagraph"/>
        <w:numPr>
          <w:ilvl w:val="0"/>
          <w:numId w:val="5"/>
        </w:numPr>
      </w:pPr>
      <w:r w:rsidRPr="002F1ADA">
        <w:rPr>
          <w:b/>
          <w:bCs/>
        </w:rPr>
        <w:t xml:space="preserve">What actions does your </w:t>
      </w:r>
      <w:r w:rsidR="00F17FAE">
        <w:rPr>
          <w:b/>
          <w:bCs/>
        </w:rPr>
        <w:t xml:space="preserve">project </w:t>
      </w:r>
      <w:r w:rsidRPr="002F1ADA">
        <w:rPr>
          <w:b/>
          <w:bCs/>
        </w:rPr>
        <w:t>take to</w:t>
      </w:r>
      <w:r w:rsidR="008D2535" w:rsidRPr="002F1ADA">
        <w:rPr>
          <w:b/>
          <w:bCs/>
        </w:rPr>
        <w:t xml:space="preserve"> work towards these goals? </w:t>
      </w:r>
      <w:r w:rsidR="008D2535">
        <w:br/>
      </w:r>
      <w:r w:rsidR="00300A97" w:rsidRPr="0053056D">
        <w:rPr>
          <w:i/>
          <w:iCs/>
          <w:u w:val="single"/>
        </w:rPr>
        <w:t>E</w:t>
      </w:r>
      <w:r w:rsidR="00EF6F29" w:rsidRPr="0053056D">
        <w:rPr>
          <w:i/>
          <w:iCs/>
          <w:u w:val="single"/>
        </w:rPr>
        <w:t>xamples</w:t>
      </w:r>
      <w:r w:rsidR="00EF6F29">
        <w:rPr>
          <w:i/>
          <w:iCs/>
        </w:rPr>
        <w:t xml:space="preserve">: </w:t>
      </w:r>
      <w:r w:rsidR="008D2535">
        <w:rPr>
          <w:i/>
          <w:iCs/>
        </w:rPr>
        <w:t>participat</w:t>
      </w:r>
      <w:r w:rsidR="00EF6F29">
        <w:rPr>
          <w:i/>
          <w:iCs/>
        </w:rPr>
        <w:t xml:space="preserve">ing </w:t>
      </w:r>
      <w:r w:rsidR="008D2535">
        <w:rPr>
          <w:i/>
          <w:iCs/>
        </w:rPr>
        <w:t>in career day</w:t>
      </w:r>
      <w:r w:rsidR="00EF6F29">
        <w:rPr>
          <w:i/>
          <w:iCs/>
        </w:rPr>
        <w:t xml:space="preserve">/recruiting </w:t>
      </w:r>
      <w:r w:rsidR="008D2535">
        <w:rPr>
          <w:i/>
          <w:iCs/>
        </w:rPr>
        <w:t>events at minority-serving institutions</w:t>
      </w:r>
      <w:r w:rsidR="224DB3FA" w:rsidRPr="0362DDC5">
        <w:rPr>
          <w:i/>
          <w:iCs/>
        </w:rPr>
        <w:t xml:space="preserve"> (MSIs)</w:t>
      </w:r>
      <w:r w:rsidR="00EF6F29" w:rsidRPr="0362DDC5">
        <w:rPr>
          <w:i/>
          <w:iCs/>
        </w:rPr>
        <w:t>;</w:t>
      </w:r>
      <w:r w:rsidR="008D2535">
        <w:rPr>
          <w:rStyle w:val="FootnoteReference"/>
          <w:i/>
          <w:iCs/>
        </w:rPr>
        <w:footnoteReference w:id="2"/>
      </w:r>
      <w:r w:rsidR="00300A97">
        <w:rPr>
          <w:i/>
          <w:iCs/>
        </w:rPr>
        <w:t xml:space="preserve"> </w:t>
      </w:r>
      <w:r w:rsidR="00091EBF">
        <w:rPr>
          <w:i/>
          <w:iCs/>
        </w:rPr>
        <w:t>hir</w:t>
      </w:r>
      <w:r w:rsidR="00EF6F29">
        <w:rPr>
          <w:i/>
          <w:iCs/>
        </w:rPr>
        <w:t>ing</w:t>
      </w:r>
      <w:r w:rsidR="00091EBF">
        <w:rPr>
          <w:i/>
          <w:iCs/>
        </w:rPr>
        <w:t xml:space="preserve"> individuals from the communities</w:t>
      </w:r>
      <w:r w:rsidR="00B23E7E">
        <w:rPr>
          <w:i/>
          <w:iCs/>
        </w:rPr>
        <w:t xml:space="preserve"> you work in; paying interns; </w:t>
      </w:r>
      <w:r w:rsidR="008A0812">
        <w:rPr>
          <w:i/>
          <w:iCs/>
        </w:rPr>
        <w:t xml:space="preserve">offering </w:t>
      </w:r>
      <w:r w:rsidR="00B23E7E">
        <w:rPr>
          <w:i/>
          <w:iCs/>
        </w:rPr>
        <w:t>mentorship</w:t>
      </w:r>
      <w:r w:rsidR="003722F5">
        <w:rPr>
          <w:i/>
          <w:iCs/>
        </w:rPr>
        <w:t xml:space="preserve"> or apprenticeship</w:t>
      </w:r>
      <w:r w:rsidR="00B23E7E">
        <w:rPr>
          <w:i/>
          <w:iCs/>
        </w:rPr>
        <w:t xml:space="preserve"> programs; conducting pay equity analyses;</w:t>
      </w:r>
      <w:r w:rsidR="000332F0">
        <w:rPr>
          <w:i/>
          <w:iCs/>
        </w:rPr>
        <w:t xml:space="preserve"> </w:t>
      </w:r>
      <w:r w:rsidR="008A0812">
        <w:rPr>
          <w:i/>
          <w:iCs/>
        </w:rPr>
        <w:t xml:space="preserve">etc. </w:t>
      </w:r>
      <w:r w:rsidR="00BF48DF">
        <w:br/>
      </w:r>
    </w:p>
    <w:p w14:paraId="5177D367" w14:textId="36A25EEB" w:rsidR="00021F01" w:rsidRPr="002340F7" w:rsidRDefault="00615B68" w:rsidP="00134405">
      <w:pPr>
        <w:pStyle w:val="ListParagraph"/>
        <w:numPr>
          <w:ilvl w:val="0"/>
          <w:numId w:val="5"/>
        </w:numPr>
        <w:rPr>
          <w:b/>
        </w:rPr>
      </w:pPr>
      <w:r w:rsidRPr="0A479A43">
        <w:rPr>
          <w:rStyle w:val="cf01"/>
          <w:rFonts w:asciiTheme="minorHAnsi" w:hAnsiTheme="minorHAnsi" w:cstheme="minorBidi"/>
          <w:b/>
          <w:sz w:val="22"/>
          <w:szCs w:val="22"/>
        </w:rPr>
        <w:t>How will your project incorporate</w:t>
      </w:r>
      <w:r w:rsidR="00571B89" w:rsidRPr="008D513B">
        <w:rPr>
          <w:rStyle w:val="cf01"/>
          <w:rFonts w:asciiTheme="minorHAnsi" w:hAnsiTheme="minorHAnsi" w:cstheme="minorBidi"/>
          <w:b/>
          <w:sz w:val="22"/>
          <w:szCs w:val="22"/>
        </w:rPr>
        <w:t xml:space="preserve"> diversity, equity</w:t>
      </w:r>
      <w:r w:rsidR="00007888" w:rsidRPr="0A479A43">
        <w:rPr>
          <w:rStyle w:val="cf01"/>
          <w:rFonts w:asciiTheme="minorHAnsi" w:hAnsiTheme="minorHAnsi" w:cstheme="minorBidi"/>
          <w:b/>
          <w:sz w:val="22"/>
          <w:szCs w:val="22"/>
        </w:rPr>
        <w:t>, and inclusion?</w:t>
      </w:r>
      <w:r w:rsidR="00571B89" w:rsidRPr="008D513B">
        <w:rPr>
          <w:rStyle w:val="cf01"/>
          <w:rFonts w:asciiTheme="minorHAnsi" w:hAnsiTheme="minorHAnsi" w:cstheme="minorBidi"/>
          <w:b/>
          <w:sz w:val="22"/>
          <w:szCs w:val="22"/>
        </w:rPr>
        <w:t xml:space="preserve"> </w:t>
      </w:r>
      <w:r w:rsidR="00007888" w:rsidRPr="0A479A43">
        <w:rPr>
          <w:rStyle w:val="cf01"/>
          <w:rFonts w:asciiTheme="minorHAnsi" w:hAnsiTheme="minorHAnsi" w:cstheme="minorBidi"/>
          <w:b/>
          <w:sz w:val="22"/>
          <w:szCs w:val="22"/>
        </w:rPr>
        <w:t>Include</w:t>
      </w:r>
      <w:r w:rsidR="00571B89" w:rsidRPr="008D513B">
        <w:rPr>
          <w:rStyle w:val="cf01"/>
          <w:rFonts w:asciiTheme="minorHAnsi" w:hAnsiTheme="minorHAnsi" w:cstheme="minorBidi"/>
          <w:b/>
          <w:sz w:val="22"/>
          <w:szCs w:val="22"/>
        </w:rPr>
        <w:t xml:space="preserve"> 2-3 Specific, Measurable, Achievable, Relevant, and Time-bound (SMART) goals related to </w:t>
      </w:r>
      <w:r w:rsidR="00C52346" w:rsidRPr="0A479A43">
        <w:rPr>
          <w:rStyle w:val="cf01"/>
          <w:rFonts w:asciiTheme="minorHAnsi" w:hAnsiTheme="minorHAnsi" w:cstheme="minorBidi"/>
          <w:b/>
          <w:sz w:val="22"/>
          <w:szCs w:val="22"/>
        </w:rPr>
        <w:t xml:space="preserve">your project’s </w:t>
      </w:r>
      <w:r w:rsidR="00571B89" w:rsidRPr="008D513B">
        <w:rPr>
          <w:rStyle w:val="cf01"/>
          <w:rFonts w:asciiTheme="minorHAnsi" w:hAnsiTheme="minorHAnsi" w:cstheme="minorBidi"/>
          <w:b/>
          <w:sz w:val="22"/>
          <w:szCs w:val="22"/>
        </w:rPr>
        <w:t>anticipated outcomes.</w:t>
      </w:r>
      <w:r w:rsidR="00571B89" w:rsidRPr="008D513B">
        <w:rPr>
          <w:rStyle w:val="cf01"/>
          <w:rFonts w:asciiTheme="minorHAnsi" w:hAnsiTheme="minorHAnsi" w:cstheme="minorBidi"/>
          <w:sz w:val="22"/>
          <w:szCs w:val="22"/>
        </w:rPr>
        <w:t xml:space="preserve"> </w:t>
      </w:r>
      <w:r w:rsidR="00CD4628" w:rsidRPr="0A479A43">
        <w:rPr>
          <w:i/>
          <w:u w:val="single"/>
        </w:rPr>
        <w:t>E</w:t>
      </w:r>
      <w:r w:rsidR="00827753" w:rsidRPr="0A479A43">
        <w:rPr>
          <w:i/>
          <w:u w:val="single"/>
        </w:rPr>
        <w:t>xamples:</w:t>
      </w:r>
      <w:r w:rsidR="00CD4628" w:rsidRPr="0A479A43">
        <w:rPr>
          <w:i/>
        </w:rPr>
        <w:t xml:space="preserve"> </w:t>
      </w:r>
      <w:r w:rsidR="00EB528B">
        <w:rPr>
          <w:i/>
        </w:rPr>
        <w:t>[#</w:t>
      </w:r>
      <w:r w:rsidR="00DD52B5">
        <w:rPr>
          <w:i/>
        </w:rPr>
        <w:t>]</w:t>
      </w:r>
      <w:r w:rsidR="00EB528B">
        <w:rPr>
          <w:i/>
        </w:rPr>
        <w:t xml:space="preserve"> </w:t>
      </w:r>
      <w:r w:rsidR="00CB6B47" w:rsidRPr="0A479A43">
        <w:rPr>
          <w:i/>
        </w:rPr>
        <w:t>engagement</w:t>
      </w:r>
      <w:r w:rsidR="000D35D6" w:rsidRPr="0A479A43">
        <w:rPr>
          <w:i/>
        </w:rPr>
        <w:t xml:space="preserve"> </w:t>
      </w:r>
      <w:r w:rsidR="00CD4628" w:rsidRPr="0A479A43">
        <w:rPr>
          <w:i/>
        </w:rPr>
        <w:t>events</w:t>
      </w:r>
      <w:r w:rsidR="00AE602D" w:rsidRPr="0A479A43">
        <w:rPr>
          <w:i/>
        </w:rPr>
        <w:t xml:space="preserve"> in disadvantaged communities</w:t>
      </w:r>
      <w:r w:rsidR="00827753" w:rsidRPr="0A479A43">
        <w:rPr>
          <w:i/>
        </w:rPr>
        <w:t>;</w:t>
      </w:r>
      <w:r w:rsidR="00A82C4A" w:rsidRPr="0A479A43">
        <w:rPr>
          <w:i/>
        </w:rPr>
        <w:t xml:space="preserve"> </w:t>
      </w:r>
      <w:r w:rsidR="00DD52B5">
        <w:rPr>
          <w:i/>
        </w:rPr>
        <w:t>[</w:t>
      </w:r>
      <w:r w:rsidR="00EB528B">
        <w:rPr>
          <w:i/>
        </w:rPr>
        <w:t>%</w:t>
      </w:r>
      <w:r w:rsidR="00DD52B5">
        <w:rPr>
          <w:i/>
        </w:rPr>
        <w:t>]</w:t>
      </w:r>
      <w:r w:rsidR="00EB528B">
        <w:rPr>
          <w:i/>
        </w:rPr>
        <w:t xml:space="preserve"> of </w:t>
      </w:r>
      <w:r w:rsidR="00D77CF7" w:rsidRPr="0A479A43">
        <w:rPr>
          <w:i/>
        </w:rPr>
        <w:t>units</w:t>
      </w:r>
      <w:r w:rsidR="006D5F20" w:rsidRPr="0A479A43">
        <w:rPr>
          <w:i/>
        </w:rPr>
        <w:t xml:space="preserve"> completed</w:t>
      </w:r>
      <w:r w:rsidR="00D77CF7" w:rsidRPr="0A479A43">
        <w:rPr>
          <w:i/>
        </w:rPr>
        <w:t xml:space="preserve"> in disadvantaged communities;</w:t>
      </w:r>
      <w:r w:rsidR="0033322F" w:rsidRPr="0A479A43">
        <w:rPr>
          <w:i/>
        </w:rPr>
        <w:t xml:space="preserve"> </w:t>
      </w:r>
      <w:r w:rsidR="00EB528B">
        <w:rPr>
          <w:i/>
        </w:rPr>
        <w:t xml:space="preserve">[#] </w:t>
      </w:r>
      <w:r w:rsidR="003722F5" w:rsidRPr="0A479A43">
        <w:rPr>
          <w:i/>
        </w:rPr>
        <w:t xml:space="preserve">partnerships with </w:t>
      </w:r>
      <w:r w:rsidR="00B952F7">
        <w:rPr>
          <w:i/>
        </w:rPr>
        <w:t>minority serving institutions (</w:t>
      </w:r>
      <w:r w:rsidR="003722F5" w:rsidRPr="0A479A43">
        <w:rPr>
          <w:i/>
        </w:rPr>
        <w:t>MSIs</w:t>
      </w:r>
      <w:r w:rsidR="00B952F7">
        <w:rPr>
          <w:i/>
        </w:rPr>
        <w:t>)</w:t>
      </w:r>
      <w:r w:rsidR="00827753" w:rsidRPr="0A479A43">
        <w:rPr>
          <w:i/>
        </w:rPr>
        <w:t>;</w:t>
      </w:r>
      <w:r w:rsidR="003722F5" w:rsidRPr="0A479A43">
        <w:rPr>
          <w:i/>
        </w:rPr>
        <w:t xml:space="preserve"> </w:t>
      </w:r>
      <w:r w:rsidR="00827753" w:rsidRPr="0A479A43">
        <w:rPr>
          <w:i/>
        </w:rPr>
        <w:t>contracts with woman, veteran, and/or minority-owned businesses</w:t>
      </w:r>
      <w:r w:rsidR="00A03989">
        <w:rPr>
          <w:i/>
        </w:rPr>
        <w:t>; etc</w:t>
      </w:r>
      <w:r w:rsidR="00021F01" w:rsidRPr="0A479A43">
        <w:rPr>
          <w:i/>
        </w:rPr>
        <w:t>.</w:t>
      </w:r>
      <w:r w:rsidR="00EE0A0E">
        <w:rPr>
          <w:i/>
        </w:rPr>
        <w:t xml:space="preserve"> </w:t>
      </w:r>
      <w:r w:rsidR="00021F01" w:rsidRPr="002340F7">
        <w:rPr>
          <w:rFonts w:cstheme="minorHAnsi"/>
          <w:i/>
          <w:iCs/>
        </w:rPr>
        <w:br/>
      </w:r>
    </w:p>
    <w:p w14:paraId="31B17667" w14:textId="5A21909E" w:rsidR="00CE04EF" w:rsidRPr="00EF6EFD" w:rsidRDefault="00DF45F8" w:rsidP="00E1178C">
      <w:r>
        <w:rPr>
          <w:i/>
          <w:iCs/>
          <w:u w:val="single"/>
        </w:rPr>
        <w:t>M</w:t>
      </w:r>
      <w:r w:rsidR="000F1457">
        <w:rPr>
          <w:i/>
          <w:iCs/>
          <w:u w:val="single"/>
        </w:rPr>
        <w:t xml:space="preserve">easuring </w:t>
      </w:r>
      <w:r w:rsidR="008B0BF4" w:rsidRPr="008B0BF4">
        <w:rPr>
          <w:i/>
          <w:iCs/>
          <w:u w:val="single"/>
        </w:rPr>
        <w:t xml:space="preserve">Community </w:t>
      </w:r>
      <w:r w:rsidR="00A86536">
        <w:rPr>
          <w:i/>
          <w:iCs/>
          <w:u w:val="single"/>
        </w:rPr>
        <w:t>Benefits</w:t>
      </w:r>
      <w:r w:rsidR="00B60BA1">
        <w:rPr>
          <w:i/>
          <w:iCs/>
          <w:u w:val="single"/>
        </w:rPr>
        <w:t xml:space="preserve"> (CB)</w:t>
      </w:r>
      <w:r w:rsidR="000F1457">
        <w:t xml:space="preserve"> </w:t>
      </w:r>
      <w:r w:rsidR="008D7AF5">
        <w:br/>
        <w:t xml:space="preserve">A </w:t>
      </w:r>
      <w:r w:rsidR="00B60BA1">
        <w:t xml:space="preserve">CB plan </w:t>
      </w:r>
      <w:r w:rsidR="00E87783">
        <w:t xml:space="preserve">outlines how </w:t>
      </w:r>
      <w:r w:rsidR="005B2BD3">
        <w:t>grant applicants will measure benefits</w:t>
      </w:r>
      <w:r w:rsidR="00131E21">
        <w:t xml:space="preserve"> to the communities </w:t>
      </w:r>
      <w:r w:rsidR="00EB528B">
        <w:t xml:space="preserve">where </w:t>
      </w:r>
      <w:r w:rsidR="00131E21">
        <w:t xml:space="preserve">they work, paying particular attention to </w:t>
      </w:r>
      <w:r w:rsidR="00BC507D">
        <w:t xml:space="preserve">the impact the project will have on </w:t>
      </w:r>
      <w:r w:rsidR="00131E21">
        <w:t xml:space="preserve">disadvantaged communities. </w:t>
      </w:r>
    </w:p>
    <w:p w14:paraId="7E54B5DF" w14:textId="7C5BBF43" w:rsidR="00F64C91" w:rsidRPr="006E017F" w:rsidRDefault="00113A48" w:rsidP="00F64C91">
      <w:pPr>
        <w:pStyle w:val="ListParagraph"/>
        <w:numPr>
          <w:ilvl w:val="0"/>
          <w:numId w:val="2"/>
        </w:numPr>
        <w:rPr>
          <w:b/>
          <w:bCs/>
        </w:rPr>
      </w:pPr>
      <w:r>
        <w:rPr>
          <w:b/>
          <w:bCs/>
        </w:rPr>
        <w:t>Which tool will you use to</w:t>
      </w:r>
      <w:r w:rsidR="0091049B" w:rsidRPr="006E017F">
        <w:rPr>
          <w:b/>
          <w:bCs/>
        </w:rPr>
        <w:t xml:space="preserve"> identify</w:t>
      </w:r>
      <w:r w:rsidR="006F1F3F" w:rsidRPr="006E017F">
        <w:rPr>
          <w:b/>
          <w:bCs/>
        </w:rPr>
        <w:t xml:space="preserve"> disadvantaged communit</w:t>
      </w:r>
      <w:r w:rsidR="0091049B" w:rsidRPr="006E017F">
        <w:rPr>
          <w:b/>
          <w:bCs/>
        </w:rPr>
        <w:t>ies</w:t>
      </w:r>
      <w:r w:rsidR="006F1F3F" w:rsidRPr="006E017F">
        <w:rPr>
          <w:b/>
          <w:bCs/>
        </w:rPr>
        <w:t xml:space="preserve"> (DAC</w:t>
      </w:r>
      <w:r w:rsidR="0091049B" w:rsidRPr="006E017F">
        <w:rPr>
          <w:b/>
          <w:bCs/>
        </w:rPr>
        <w:t>s</w:t>
      </w:r>
      <w:r w:rsidR="006F1F3F" w:rsidRPr="006E017F">
        <w:rPr>
          <w:b/>
          <w:bCs/>
        </w:rPr>
        <w:t>)</w:t>
      </w:r>
      <w:r w:rsidR="00596FC5">
        <w:rPr>
          <w:b/>
          <w:bCs/>
        </w:rPr>
        <w:t>?</w:t>
      </w:r>
      <w:r w:rsidR="00813397">
        <w:rPr>
          <w:b/>
          <w:bCs/>
        </w:rPr>
        <w:t xml:space="preserve"> </w:t>
      </w:r>
      <w:r w:rsidR="00813397">
        <w:t>See Appendix A below for more information on the DAC tools.</w:t>
      </w:r>
    </w:p>
    <w:p w14:paraId="05536992" w14:textId="1CABFD5A" w:rsidR="00F64C91" w:rsidRPr="00F64C91" w:rsidRDefault="006E017F" w:rsidP="00F64C91">
      <w:pPr>
        <w:pStyle w:val="ListParagraph"/>
        <w:numPr>
          <w:ilvl w:val="1"/>
          <w:numId w:val="2"/>
        </w:numPr>
        <w:rPr>
          <w:rStyle w:val="Hyperlink"/>
          <w:color w:val="auto"/>
          <w:u w:val="none"/>
        </w:rPr>
      </w:pPr>
      <w:r>
        <w:t xml:space="preserve">Using DOE’s </w:t>
      </w:r>
      <w:hyperlink r:id="rId11" w:history="1">
        <w:r w:rsidR="00540737">
          <w:rPr>
            <w:rStyle w:val="Hyperlink"/>
          </w:rPr>
          <w:t>Energy Justice Mapping Tool</w:t>
        </w:r>
      </w:hyperlink>
    </w:p>
    <w:p w14:paraId="458DAD89" w14:textId="1A8D5FAB" w:rsidR="006F1F3F" w:rsidRPr="00552705" w:rsidRDefault="006E017F" w:rsidP="00F64C91">
      <w:pPr>
        <w:pStyle w:val="ListParagraph"/>
        <w:numPr>
          <w:ilvl w:val="1"/>
          <w:numId w:val="2"/>
        </w:numPr>
        <w:rPr>
          <w:rStyle w:val="Hyperlink"/>
          <w:color w:val="auto"/>
          <w:u w:val="none"/>
        </w:rPr>
      </w:pPr>
      <w:r>
        <w:t xml:space="preserve">Using the </w:t>
      </w:r>
      <w:hyperlink r:id="rId12" w:anchor="3/33.47/-97.5" w:history="1">
        <w:r w:rsidR="005A7E6F">
          <w:rPr>
            <w:rStyle w:val="Hyperlink"/>
          </w:rPr>
          <w:t>Climate &amp; Economic Justice Screening Tool (CEJST)</w:t>
        </w:r>
      </w:hyperlink>
    </w:p>
    <w:p w14:paraId="2AE82A7F" w14:textId="150A0032" w:rsidR="006F6529" w:rsidRDefault="00552705" w:rsidP="006F6529">
      <w:pPr>
        <w:pStyle w:val="ListParagraph"/>
        <w:numPr>
          <w:ilvl w:val="1"/>
          <w:numId w:val="2"/>
        </w:numPr>
        <w:rPr>
          <w:rStyle w:val="Hyperlink"/>
          <w:color w:val="auto"/>
          <w:u w:val="none"/>
        </w:rPr>
      </w:pPr>
      <w:r w:rsidRPr="6E9B6538">
        <w:rPr>
          <w:rStyle w:val="Hyperlink"/>
          <w:color w:val="auto"/>
          <w:u w:val="none"/>
        </w:rPr>
        <w:t>Other</w:t>
      </w:r>
      <w:r w:rsidR="00095BD3" w:rsidRPr="6E9B6538">
        <w:rPr>
          <w:rStyle w:val="Hyperlink"/>
          <w:color w:val="auto"/>
          <w:u w:val="none"/>
        </w:rPr>
        <w:t xml:space="preserve"> tool</w:t>
      </w:r>
      <w:r w:rsidR="00D473EE" w:rsidRPr="6E9B6538">
        <w:rPr>
          <w:rStyle w:val="Hyperlink"/>
          <w:color w:val="auto"/>
          <w:u w:val="none"/>
        </w:rPr>
        <w:t xml:space="preserve"> </w:t>
      </w:r>
      <w:r w:rsidR="0B9F9FF0" w:rsidRPr="6E9B6538">
        <w:rPr>
          <w:rStyle w:val="Hyperlink"/>
          <w:color w:val="auto"/>
          <w:u w:val="none"/>
        </w:rPr>
        <w:t xml:space="preserve">or definition </w:t>
      </w:r>
      <w:r w:rsidR="00B529CC" w:rsidRPr="6E9B6538">
        <w:rPr>
          <w:rStyle w:val="Hyperlink"/>
          <w:color w:val="auto"/>
          <w:u w:val="none"/>
        </w:rPr>
        <w:t>– please specify below</w:t>
      </w:r>
    </w:p>
    <w:p w14:paraId="4F3C290F" w14:textId="5E174762" w:rsidR="00B529CC" w:rsidRDefault="00B529CC" w:rsidP="00B529CC">
      <w:pPr>
        <w:pStyle w:val="ListParagraph"/>
        <w:numPr>
          <w:ilvl w:val="2"/>
          <w:numId w:val="2"/>
        </w:numPr>
        <w:rPr>
          <w:rStyle w:val="Hyperlink"/>
          <w:color w:val="auto"/>
          <w:u w:val="none"/>
        </w:rPr>
      </w:pPr>
      <w:r>
        <w:rPr>
          <w:rStyle w:val="Hyperlink"/>
          <w:color w:val="auto"/>
          <w:u w:val="none"/>
        </w:rPr>
        <w:t xml:space="preserve">Name of tool: </w:t>
      </w:r>
    </w:p>
    <w:p w14:paraId="423C0A49" w14:textId="66F9225C" w:rsidR="00552705" w:rsidRPr="00B529CC" w:rsidRDefault="00B529CC" w:rsidP="00B529CC">
      <w:pPr>
        <w:pStyle w:val="ListParagraph"/>
        <w:numPr>
          <w:ilvl w:val="2"/>
          <w:numId w:val="2"/>
        </w:numPr>
        <w:rPr>
          <w:rStyle w:val="Hyperlink"/>
          <w:color w:val="auto"/>
          <w:u w:val="none"/>
        </w:rPr>
      </w:pPr>
      <w:r>
        <w:rPr>
          <w:rStyle w:val="Hyperlink"/>
          <w:color w:val="auto"/>
          <w:u w:val="none"/>
        </w:rPr>
        <w:t>Link:</w:t>
      </w:r>
      <w:r w:rsidR="006F6529" w:rsidRPr="00B529CC">
        <w:rPr>
          <w:rStyle w:val="Hyperlink"/>
          <w:color w:val="auto"/>
          <w:u w:val="none"/>
        </w:rPr>
        <w:br/>
      </w:r>
    </w:p>
    <w:p w14:paraId="1347CACD" w14:textId="77777777" w:rsidR="001B0A84" w:rsidRDefault="001B0A84" w:rsidP="008D513B">
      <w:pPr>
        <w:rPr>
          <w:rStyle w:val="Hyperlink"/>
          <w:color w:val="auto"/>
        </w:rPr>
      </w:pPr>
    </w:p>
    <w:p w14:paraId="07DA5B3D" w14:textId="11CA2706" w:rsidR="00DF3407" w:rsidRPr="0053056D" w:rsidRDefault="00F24020" w:rsidP="008D513B">
      <w:r>
        <w:rPr>
          <w:rStyle w:val="Hyperlink"/>
          <w:color w:val="auto"/>
        </w:rPr>
        <w:lastRenderedPageBreak/>
        <w:t>D</w:t>
      </w:r>
      <w:r w:rsidR="00215B34">
        <w:rPr>
          <w:rStyle w:val="Hyperlink"/>
          <w:color w:val="auto"/>
        </w:rPr>
        <w:t>ACs in the Project Area</w:t>
      </w:r>
    </w:p>
    <w:p w14:paraId="2D760EDE" w14:textId="6E6EDE44" w:rsidR="0053056D" w:rsidRDefault="0053056D" w:rsidP="0053056D">
      <w:pPr>
        <w:pStyle w:val="ListParagraph"/>
        <w:numPr>
          <w:ilvl w:val="0"/>
          <w:numId w:val="2"/>
        </w:numPr>
      </w:pPr>
      <w:r w:rsidRPr="46F3A114">
        <w:rPr>
          <w:b/>
          <w:bCs/>
        </w:rPr>
        <w:t xml:space="preserve">Using the tool </w:t>
      </w:r>
      <w:r w:rsidR="78F00EE5" w:rsidRPr="46F3A114">
        <w:rPr>
          <w:b/>
          <w:bCs/>
        </w:rPr>
        <w:t xml:space="preserve">or definition </w:t>
      </w:r>
      <w:r w:rsidRPr="46F3A114">
        <w:rPr>
          <w:b/>
          <w:bCs/>
        </w:rPr>
        <w:t xml:space="preserve">you selected in Question 1, identify which DACs fall within the project </w:t>
      </w:r>
      <w:r w:rsidR="00D26340" w:rsidRPr="46F3A114">
        <w:rPr>
          <w:b/>
          <w:bCs/>
        </w:rPr>
        <w:t>area</w:t>
      </w:r>
      <w:r>
        <w:br/>
      </w:r>
      <w:r w:rsidRPr="46F3A114">
        <w:rPr>
          <w:i/>
          <w:iCs/>
        </w:rPr>
        <w:t xml:space="preserve">If using DOE’s Energy Justice Mapping Tool or CEJST, please indicate the relevant census tracts or attach a screenshot of the areas where work will take place. </w:t>
      </w:r>
      <w:r>
        <w:br/>
      </w:r>
    </w:p>
    <w:p w14:paraId="3F4F1262" w14:textId="7AF67D2D" w:rsidR="00D32285" w:rsidRPr="00BE6F47" w:rsidRDefault="0041608E" w:rsidP="00FE1ED7">
      <w:r>
        <w:rPr>
          <w:u w:val="single"/>
        </w:rPr>
        <w:t>Engaging with Communities</w:t>
      </w:r>
    </w:p>
    <w:p w14:paraId="7FEFA430" w14:textId="273A4C19" w:rsidR="00350F0E" w:rsidRPr="00845F22" w:rsidRDefault="00366AAA" w:rsidP="00441BBE">
      <w:pPr>
        <w:pStyle w:val="ListParagraph"/>
        <w:numPr>
          <w:ilvl w:val="0"/>
          <w:numId w:val="2"/>
        </w:numPr>
        <w:rPr>
          <w:b/>
          <w:bCs/>
        </w:rPr>
      </w:pPr>
      <w:r w:rsidRPr="365459B5">
        <w:rPr>
          <w:b/>
          <w:bCs/>
        </w:rPr>
        <w:t xml:space="preserve">Describe how your team plans </w:t>
      </w:r>
      <w:r w:rsidR="00EB528B">
        <w:rPr>
          <w:b/>
          <w:bCs/>
        </w:rPr>
        <w:t xml:space="preserve">to </w:t>
      </w:r>
      <w:r w:rsidRPr="365459B5">
        <w:rPr>
          <w:b/>
          <w:bCs/>
        </w:rPr>
        <w:t>engage community members living in DACs</w:t>
      </w:r>
      <w:r>
        <w:br/>
      </w:r>
      <w:r w:rsidR="005D5AD4" w:rsidRPr="365459B5">
        <w:rPr>
          <w:i/>
          <w:iCs/>
        </w:rPr>
        <w:t>How does your organization plan to build trust</w:t>
      </w:r>
      <w:r w:rsidR="007F1446" w:rsidRPr="365459B5">
        <w:rPr>
          <w:i/>
          <w:iCs/>
        </w:rPr>
        <w:t xml:space="preserve"> within the community?</w:t>
      </w:r>
      <w:r w:rsidR="0041608E" w:rsidRPr="365459B5">
        <w:rPr>
          <w:i/>
          <w:iCs/>
        </w:rPr>
        <w:t xml:space="preserve"> What </w:t>
      </w:r>
      <w:r w:rsidR="00EB528B">
        <w:rPr>
          <w:i/>
          <w:iCs/>
        </w:rPr>
        <w:t xml:space="preserve">methods </w:t>
      </w:r>
      <w:r w:rsidR="0041608E" w:rsidRPr="365459B5">
        <w:rPr>
          <w:i/>
          <w:iCs/>
        </w:rPr>
        <w:t>will you employ to reach the community?</w:t>
      </w:r>
      <w:r w:rsidR="008579C4" w:rsidRPr="365459B5">
        <w:rPr>
          <w:i/>
          <w:iCs/>
        </w:rPr>
        <w:t xml:space="preserve"> </w:t>
      </w:r>
      <w:r w:rsidR="0041608E" w:rsidRPr="365459B5">
        <w:rPr>
          <w:i/>
          <w:iCs/>
        </w:rPr>
        <w:t xml:space="preserve">How will you measure engagement? </w:t>
      </w:r>
      <w:r w:rsidR="00350F0E" w:rsidRPr="365459B5">
        <w:rPr>
          <w:i/>
          <w:iCs/>
        </w:rPr>
        <w:t xml:space="preserve">How will community feedback influence the project? </w:t>
      </w:r>
      <w:r w:rsidR="00350F0E">
        <w:br/>
      </w:r>
    </w:p>
    <w:p w14:paraId="4FB6BB5E" w14:textId="49333289" w:rsidR="00366AAA" w:rsidRPr="00366AAA" w:rsidRDefault="00366AAA" w:rsidP="008D513B">
      <w:pPr>
        <w:pStyle w:val="ListParagraph"/>
        <w:rPr>
          <w:b/>
          <w:bCs/>
        </w:rPr>
      </w:pPr>
    </w:p>
    <w:p w14:paraId="38BE6DA0" w14:textId="028622B8" w:rsidR="004B7792" w:rsidRPr="004B7792" w:rsidRDefault="00DF3407" w:rsidP="004B7792">
      <w:pPr>
        <w:pStyle w:val="ListParagraph"/>
        <w:numPr>
          <w:ilvl w:val="0"/>
          <w:numId w:val="2"/>
        </w:numPr>
      </w:pPr>
      <w:r w:rsidRPr="365459B5">
        <w:rPr>
          <w:b/>
          <w:bCs/>
        </w:rPr>
        <w:t>W</w:t>
      </w:r>
      <w:r w:rsidR="001160E2" w:rsidRPr="365459B5">
        <w:rPr>
          <w:b/>
          <w:bCs/>
        </w:rPr>
        <w:t>ithin these DACs, what</w:t>
      </w:r>
      <w:r w:rsidRPr="365459B5">
        <w:rPr>
          <w:b/>
          <w:bCs/>
        </w:rPr>
        <w:t xml:space="preserve"> are the </w:t>
      </w:r>
      <w:r w:rsidR="004B7792" w:rsidRPr="365459B5">
        <w:rPr>
          <w:b/>
          <w:bCs/>
        </w:rPr>
        <w:t xml:space="preserve">energy, </w:t>
      </w:r>
      <w:r w:rsidR="008402CA" w:rsidRPr="365459B5">
        <w:rPr>
          <w:b/>
          <w:bCs/>
        </w:rPr>
        <w:t xml:space="preserve">environmental, </w:t>
      </w:r>
      <w:r w:rsidR="004B7792" w:rsidRPr="365459B5">
        <w:rPr>
          <w:b/>
          <w:bCs/>
        </w:rPr>
        <w:t xml:space="preserve">health, </w:t>
      </w:r>
      <w:r w:rsidR="0053056D" w:rsidRPr="365459B5">
        <w:rPr>
          <w:b/>
          <w:bCs/>
        </w:rPr>
        <w:t>and/</w:t>
      </w:r>
      <w:r w:rsidR="008402CA" w:rsidRPr="365459B5">
        <w:rPr>
          <w:b/>
          <w:bCs/>
        </w:rPr>
        <w:t>or economic challenges</w:t>
      </w:r>
      <w:r w:rsidRPr="365459B5">
        <w:rPr>
          <w:b/>
          <w:bCs/>
        </w:rPr>
        <w:t xml:space="preserve"> </w:t>
      </w:r>
      <w:r w:rsidR="008402CA" w:rsidRPr="365459B5">
        <w:rPr>
          <w:b/>
          <w:bCs/>
        </w:rPr>
        <w:t>that your project aims to address?</w:t>
      </w:r>
      <w:r w:rsidR="003D5966" w:rsidRPr="365459B5">
        <w:rPr>
          <w:b/>
          <w:bCs/>
        </w:rPr>
        <w:t xml:space="preserve"> </w:t>
      </w:r>
      <w:r w:rsidR="00487B68" w:rsidRPr="365459B5">
        <w:rPr>
          <w:b/>
          <w:bCs/>
        </w:rPr>
        <w:t>Indicate how</w:t>
      </w:r>
      <w:r w:rsidR="00CD6389" w:rsidRPr="365459B5">
        <w:rPr>
          <w:b/>
          <w:bCs/>
        </w:rPr>
        <w:t xml:space="preserve"> aspects of</w:t>
      </w:r>
      <w:r w:rsidR="00487B68" w:rsidRPr="365459B5">
        <w:rPr>
          <w:b/>
          <w:bCs/>
        </w:rPr>
        <w:t xml:space="preserve"> your project will address these challenges</w:t>
      </w:r>
      <w:r w:rsidR="00854769" w:rsidRPr="365459B5">
        <w:rPr>
          <w:b/>
          <w:bCs/>
        </w:rPr>
        <w:t xml:space="preserve"> and/or </w:t>
      </w:r>
      <w:r w:rsidR="00F06270" w:rsidRPr="365459B5">
        <w:rPr>
          <w:b/>
          <w:bCs/>
        </w:rPr>
        <w:t>benefit the community</w:t>
      </w:r>
      <w:r w:rsidR="00ED3A61" w:rsidRPr="365459B5">
        <w:rPr>
          <w:b/>
          <w:bCs/>
        </w:rPr>
        <w:t>. In</w:t>
      </w:r>
      <w:r w:rsidR="00CC3284" w:rsidRPr="365459B5">
        <w:rPr>
          <w:b/>
          <w:bCs/>
        </w:rPr>
        <w:t xml:space="preserve">dicate the </w:t>
      </w:r>
      <w:r w:rsidR="00ED3A61" w:rsidRPr="365459B5">
        <w:rPr>
          <w:b/>
          <w:bCs/>
        </w:rPr>
        <w:t>metrics</w:t>
      </w:r>
      <w:r w:rsidR="00CC3284" w:rsidRPr="365459B5">
        <w:rPr>
          <w:b/>
          <w:bCs/>
        </w:rPr>
        <w:t xml:space="preserve"> you will use to measure progress. </w:t>
      </w:r>
      <w:r w:rsidR="00582522">
        <w:rPr>
          <w:i/>
          <w:iCs/>
        </w:rPr>
        <w:t xml:space="preserve">CEJST and </w:t>
      </w:r>
      <w:r w:rsidR="00791E36">
        <w:rPr>
          <w:i/>
          <w:iCs/>
        </w:rPr>
        <w:t xml:space="preserve">the Energy Justice Mapping Tool can help identify areas of need in the </w:t>
      </w:r>
      <w:r w:rsidR="00EB528B">
        <w:rPr>
          <w:i/>
          <w:iCs/>
        </w:rPr>
        <w:t xml:space="preserve">DACs </w:t>
      </w:r>
      <w:r w:rsidR="00791E36">
        <w:rPr>
          <w:i/>
          <w:iCs/>
        </w:rPr>
        <w:t xml:space="preserve">you aim to engage. </w:t>
      </w:r>
      <w:r>
        <w:br/>
      </w:r>
      <w:r>
        <w:br/>
      </w:r>
      <w:r w:rsidR="004B7792" w:rsidRPr="365459B5">
        <w:rPr>
          <w:i/>
          <w:iCs/>
        </w:rPr>
        <w:t>Energy</w:t>
      </w:r>
      <w:r>
        <w:br/>
      </w:r>
      <w:r>
        <w:br/>
      </w:r>
      <w:r w:rsidR="004B7792" w:rsidRPr="365459B5">
        <w:rPr>
          <w:i/>
          <w:iCs/>
        </w:rPr>
        <w:t>Environmental</w:t>
      </w:r>
      <w:r>
        <w:br/>
      </w:r>
      <w:r>
        <w:br/>
      </w:r>
      <w:r w:rsidR="004B7792" w:rsidRPr="365459B5">
        <w:rPr>
          <w:i/>
          <w:iCs/>
        </w:rPr>
        <w:t>Health</w:t>
      </w:r>
      <w:r>
        <w:br/>
      </w:r>
    </w:p>
    <w:p w14:paraId="040DAB12" w14:textId="61E5EE56" w:rsidR="00300764" w:rsidRDefault="004B7792" w:rsidP="00B60A49">
      <w:pPr>
        <w:pStyle w:val="ListParagraph"/>
      </w:pPr>
      <w:r w:rsidRPr="004B7792">
        <w:rPr>
          <w:i/>
          <w:iCs/>
        </w:rPr>
        <w:t>Economic</w:t>
      </w:r>
      <w:r w:rsidR="00AF5832" w:rsidRPr="00B60A49">
        <w:rPr>
          <w:i/>
          <w:iCs/>
        </w:rPr>
        <w:br/>
      </w:r>
    </w:p>
    <w:p w14:paraId="4CF5413E" w14:textId="141F52A3" w:rsidR="00813397" w:rsidRDefault="00813397">
      <w:r>
        <w:br w:type="page"/>
      </w:r>
    </w:p>
    <w:p w14:paraId="566F29DA" w14:textId="77777777" w:rsidR="00813397" w:rsidRDefault="00813397" w:rsidP="00813397">
      <w:pPr>
        <w:pStyle w:val="ListParagraph"/>
        <w:ind w:left="0"/>
        <w:rPr>
          <w:rStyle w:val="Hyperlink"/>
          <w:color w:val="auto"/>
        </w:rPr>
      </w:pPr>
      <w:r>
        <w:rPr>
          <w:rStyle w:val="Hyperlink"/>
          <w:color w:val="auto"/>
        </w:rPr>
        <w:lastRenderedPageBreak/>
        <w:t xml:space="preserve">APPENDIX A - </w:t>
      </w:r>
      <w:r w:rsidRPr="00307C9A">
        <w:rPr>
          <w:rStyle w:val="Hyperlink"/>
          <w:color w:val="auto"/>
        </w:rPr>
        <w:t xml:space="preserve">About the </w:t>
      </w:r>
      <w:r>
        <w:rPr>
          <w:rStyle w:val="Hyperlink"/>
          <w:color w:val="auto"/>
        </w:rPr>
        <w:t xml:space="preserve">DAC </w:t>
      </w:r>
      <w:r w:rsidRPr="00307C9A">
        <w:rPr>
          <w:rStyle w:val="Hyperlink"/>
          <w:color w:val="auto"/>
        </w:rPr>
        <w:t>Tools:</w:t>
      </w:r>
    </w:p>
    <w:p w14:paraId="7D7D21A2" w14:textId="08D13FD1" w:rsidR="00813397" w:rsidRDefault="00813397" w:rsidP="00813397">
      <w:pPr>
        <w:pStyle w:val="ListParagraph"/>
        <w:ind w:left="0"/>
        <w:rPr>
          <w:rStyle w:val="Hyperlink"/>
          <w:b/>
          <w:bCs/>
          <w:color w:val="auto"/>
          <w:u w:val="none"/>
        </w:rPr>
      </w:pPr>
      <w:r w:rsidRPr="00813397">
        <w:rPr>
          <w:rStyle w:val="Hyperlink"/>
          <w:i/>
          <w:iCs/>
          <w:color w:val="auto"/>
          <w:u w:val="none"/>
        </w:rPr>
        <w:t>Note: This page is excluded from the 2-page limit for DEI Plans.</w:t>
      </w:r>
      <w:r>
        <w:rPr>
          <w:rStyle w:val="Hyperlink"/>
          <w:i/>
          <w:iCs/>
          <w:color w:val="auto"/>
          <w:u w:val="none"/>
        </w:rPr>
        <w:t xml:space="preserve"> Applicants may delete this page prior to DEI Plan submission.</w:t>
      </w:r>
      <w:r w:rsidRPr="00813397">
        <w:rPr>
          <w:rStyle w:val="Hyperlink"/>
          <w:i/>
          <w:iCs/>
          <w:color w:val="auto"/>
          <w:u w:val="none"/>
        </w:rPr>
        <w:t xml:space="preserve">  </w:t>
      </w:r>
      <w:r>
        <w:rPr>
          <w:rStyle w:val="Hyperlink"/>
          <w:color w:val="auto"/>
          <w:u w:val="none"/>
        </w:rPr>
        <w:br/>
      </w:r>
    </w:p>
    <w:p w14:paraId="18A16AA4" w14:textId="4E06FF4E" w:rsidR="00813397" w:rsidRDefault="00813397" w:rsidP="00813397">
      <w:pPr>
        <w:pStyle w:val="ListParagraph"/>
        <w:ind w:left="0"/>
        <w:rPr>
          <w:rStyle w:val="Hyperlink"/>
          <w:color w:val="auto"/>
          <w:u w:val="none"/>
        </w:rPr>
      </w:pPr>
      <w:r w:rsidRPr="00103F58">
        <w:rPr>
          <w:rStyle w:val="Hyperlink"/>
          <w:b/>
          <w:bCs/>
          <w:color w:val="auto"/>
          <w:u w:val="none"/>
        </w:rPr>
        <w:t>DOE’s Energy Justice Dashboard</w:t>
      </w:r>
    </w:p>
    <w:p w14:paraId="0384E2D5" w14:textId="77777777" w:rsidR="00813397" w:rsidRDefault="00813397" w:rsidP="00813397">
      <w:pPr>
        <w:pStyle w:val="ListParagraph"/>
        <w:ind w:left="0"/>
        <w:rPr>
          <w:rStyle w:val="Hyperlink"/>
          <w:color w:val="auto"/>
          <w:u w:val="none"/>
        </w:rPr>
      </w:pPr>
      <w:r>
        <w:rPr>
          <w:rStyle w:val="Hyperlink"/>
          <w:color w:val="auto"/>
          <w:u w:val="none"/>
        </w:rPr>
        <w:t xml:space="preserve">The full methodology can be found </w:t>
      </w:r>
      <w:hyperlink r:id="rId13" w:history="1">
        <w:r>
          <w:rPr>
            <w:rStyle w:val="Hyperlink"/>
          </w:rPr>
          <w:t>here</w:t>
        </w:r>
      </w:hyperlink>
    </w:p>
    <w:p w14:paraId="1BFEC346" w14:textId="2A3D504E" w:rsidR="00813397" w:rsidRDefault="00813397" w:rsidP="00813397">
      <w:pPr>
        <w:pStyle w:val="ListParagraph"/>
        <w:numPr>
          <w:ilvl w:val="0"/>
          <w:numId w:val="3"/>
        </w:numPr>
        <w:ind w:left="720"/>
        <w:rPr>
          <w:rStyle w:val="Hyperlink"/>
          <w:color w:val="auto"/>
          <w:u w:val="none"/>
        </w:rPr>
      </w:pPr>
      <w:r w:rsidRPr="00EE2124">
        <w:rPr>
          <w:rStyle w:val="Hyperlink"/>
          <w:b/>
          <w:bCs/>
          <w:color w:val="auto"/>
        </w:rPr>
        <w:t>Burden measurement</w:t>
      </w:r>
      <w:r w:rsidRPr="00EE2124">
        <w:rPr>
          <w:rStyle w:val="Hyperlink"/>
          <w:color w:val="auto"/>
        </w:rPr>
        <w:t>:</w:t>
      </w:r>
      <w:r>
        <w:rPr>
          <w:rStyle w:val="Hyperlink"/>
          <w:color w:val="auto"/>
          <w:u w:val="none"/>
        </w:rPr>
        <w:t xml:space="preserve"> Cumulative.</w:t>
      </w:r>
      <w:r>
        <w:rPr>
          <w:rStyle w:val="Hyperlink"/>
          <w:color w:val="auto"/>
          <w:u w:val="none"/>
        </w:rPr>
        <w:br/>
        <w:t>A census tract is labeled</w:t>
      </w:r>
      <w:r w:rsidRPr="000F7BCF">
        <w:rPr>
          <w:rStyle w:val="Hyperlink"/>
          <w:color w:val="auto"/>
          <w:u w:val="none"/>
        </w:rPr>
        <w:t> </w:t>
      </w:r>
      <w:r w:rsidRPr="00721F2B">
        <w:rPr>
          <w:rStyle w:val="Hyperlink"/>
          <w:color w:val="auto"/>
          <w:u w:val="none"/>
        </w:rPr>
        <w:t>“disadvantage</w:t>
      </w:r>
      <w:r>
        <w:rPr>
          <w:rStyle w:val="Hyperlink"/>
          <w:color w:val="auto"/>
          <w:u w:val="none"/>
        </w:rPr>
        <w:t>d”</w:t>
      </w:r>
      <w:r w:rsidRPr="00721F2B">
        <w:rPr>
          <w:rStyle w:val="Hyperlink"/>
          <w:color w:val="auto"/>
          <w:u w:val="none"/>
        </w:rPr>
        <w:t> </w:t>
      </w:r>
      <w:r w:rsidRPr="000F7BCF">
        <w:rPr>
          <w:rStyle w:val="Hyperlink"/>
          <w:color w:val="auto"/>
          <w:u w:val="none"/>
        </w:rPr>
        <w:t>based on cumulative burden</w:t>
      </w:r>
      <w:r>
        <w:rPr>
          <w:rStyle w:val="Hyperlink"/>
          <w:color w:val="auto"/>
          <w:u w:val="none"/>
        </w:rPr>
        <w:t xml:space="preserve"> across</w:t>
      </w:r>
      <w:r w:rsidRPr="000F7BCF">
        <w:rPr>
          <w:rStyle w:val="Hyperlink"/>
          <w:color w:val="auto"/>
          <w:u w:val="none"/>
        </w:rPr>
        <w:t xml:space="preserve"> 36 burden indicators that reflect fossil </w:t>
      </w:r>
      <w:r w:rsidR="00EB528B">
        <w:rPr>
          <w:rStyle w:val="Hyperlink"/>
          <w:color w:val="auto"/>
          <w:u w:val="none"/>
        </w:rPr>
        <w:t xml:space="preserve">fuel </w:t>
      </w:r>
      <w:r w:rsidRPr="000F7BCF">
        <w:rPr>
          <w:rStyle w:val="Hyperlink"/>
          <w:color w:val="auto"/>
          <w:u w:val="none"/>
        </w:rPr>
        <w:t>dependence, energy burden, environmental and climate hazards, and socio-economic vulnerabilities.</w:t>
      </w:r>
      <w:r>
        <w:rPr>
          <w:rStyle w:val="Hyperlink"/>
          <w:color w:val="auto"/>
          <w:u w:val="none"/>
        </w:rPr>
        <w:t xml:space="preserve"> The tool labels 20% of the most burdened census tracts in each state as “disadvantaged.” Due to data constraints, all federally recognized tribal lands and U.S. territories are categorized as disadvantaged.  </w:t>
      </w:r>
    </w:p>
    <w:p w14:paraId="17960942" w14:textId="3DD435D2" w:rsidR="00813397" w:rsidRPr="000E28AF" w:rsidRDefault="00813397" w:rsidP="00813397">
      <w:pPr>
        <w:pStyle w:val="ListParagraph"/>
        <w:numPr>
          <w:ilvl w:val="0"/>
          <w:numId w:val="3"/>
        </w:numPr>
        <w:ind w:left="720"/>
        <w:rPr>
          <w:rStyle w:val="Hyperlink"/>
          <w:b/>
          <w:bCs/>
          <w:color w:val="auto"/>
          <w:u w:val="none"/>
        </w:rPr>
      </w:pPr>
      <w:r w:rsidRPr="00EE2124">
        <w:rPr>
          <w:rStyle w:val="Hyperlink"/>
          <w:b/>
          <w:bCs/>
          <w:color w:val="auto"/>
        </w:rPr>
        <w:t>Burden indicators:</w:t>
      </w:r>
      <w:r w:rsidRPr="00EA61CF">
        <w:rPr>
          <w:rStyle w:val="Hyperlink"/>
          <w:b/>
          <w:bCs/>
          <w:color w:val="auto"/>
          <w:u w:val="none"/>
        </w:rPr>
        <w:t xml:space="preserve"> </w:t>
      </w:r>
      <w:r w:rsidRPr="00D964D7">
        <w:rPr>
          <w:rStyle w:val="Hyperlink"/>
          <w:color w:val="auto"/>
          <w:u w:val="none"/>
        </w:rPr>
        <w:t xml:space="preserve">energy burden, non-grid-connected heating fuel, outage duration, outage events, transportation costs, cancer risk, climate hazards loss of life estimates, diesel air particulate matter, homes built before 1960 (lead paint indicator), proximity to </w:t>
      </w:r>
      <w:r>
        <w:rPr>
          <w:rStyle w:val="Hyperlink"/>
          <w:color w:val="auto"/>
          <w:u w:val="none"/>
        </w:rPr>
        <w:t>national priorities list (NPL) sites</w:t>
      </w:r>
      <w:r w:rsidRPr="00D964D7">
        <w:rPr>
          <w:rStyle w:val="Hyperlink"/>
          <w:color w:val="auto"/>
          <w:u w:val="none"/>
        </w:rPr>
        <w:t xml:space="preserve">, </w:t>
      </w:r>
      <w:r>
        <w:rPr>
          <w:rStyle w:val="Hyperlink"/>
          <w:color w:val="auto"/>
          <w:u w:val="none"/>
        </w:rPr>
        <w:t xml:space="preserve">air </w:t>
      </w:r>
      <w:r w:rsidRPr="00D964D7">
        <w:rPr>
          <w:rStyle w:val="Hyperlink"/>
          <w:color w:val="auto"/>
          <w:u w:val="none"/>
        </w:rPr>
        <w:t>PM2.5 level, proximity to risk management plan (RMP) facilities, traffic proximity, proximity to treatment storage and disposal (TSDF) facilities, water discharge, population with driving time of at least 30 minutes, disabled population, food desert, homelessness, housing costs, incomplete plumbing, internet access, job access, education</w:t>
      </w:r>
      <w:r w:rsidR="00EB528B">
        <w:rPr>
          <w:rStyle w:val="Hyperlink"/>
          <w:color w:val="auto"/>
          <w:u w:val="none"/>
        </w:rPr>
        <w:t xml:space="preserve"> level</w:t>
      </w:r>
      <w:r w:rsidRPr="00D964D7">
        <w:rPr>
          <w:rStyle w:val="Hyperlink"/>
          <w:color w:val="auto"/>
          <w:u w:val="none"/>
        </w:rPr>
        <w:t xml:space="preserve">, linguistic isolation, </w:t>
      </w:r>
      <w:r w:rsidR="00EB528B">
        <w:rPr>
          <w:rStyle w:val="Hyperlink"/>
          <w:color w:val="auto"/>
          <w:u w:val="none"/>
        </w:rPr>
        <w:t xml:space="preserve">low-income </w:t>
      </w:r>
      <w:r w:rsidRPr="00D964D7">
        <w:rPr>
          <w:rStyle w:val="Hyperlink"/>
          <w:color w:val="auto"/>
          <w:u w:val="none"/>
        </w:rPr>
        <w:t>population, mobile home</w:t>
      </w:r>
      <w:r>
        <w:rPr>
          <w:rStyle w:val="Hyperlink"/>
          <w:color w:val="auto"/>
          <w:u w:val="none"/>
        </w:rPr>
        <w:t xml:space="preserve">, no vehicle, parks, population 65 and older, renters, single parent, unemployed, uninsured, coal employment, fossil energy employment. </w:t>
      </w:r>
    </w:p>
    <w:p w14:paraId="71EDDE9F" w14:textId="4EE8583D" w:rsidR="00813397" w:rsidRPr="00EE2124" w:rsidRDefault="00813397" w:rsidP="00813397">
      <w:pPr>
        <w:pStyle w:val="ListParagraph"/>
        <w:numPr>
          <w:ilvl w:val="0"/>
          <w:numId w:val="3"/>
        </w:numPr>
        <w:ind w:left="720"/>
        <w:rPr>
          <w:rStyle w:val="Hyperlink"/>
          <w:color w:val="auto"/>
        </w:rPr>
      </w:pPr>
      <w:r w:rsidRPr="00EE2124">
        <w:rPr>
          <w:rStyle w:val="Hyperlink"/>
          <w:b/>
          <w:bCs/>
          <w:color w:val="auto"/>
        </w:rPr>
        <w:t>Data limitations:</w:t>
      </w:r>
      <w:r>
        <w:rPr>
          <w:rStyle w:val="Hyperlink"/>
          <w:b/>
          <w:bCs/>
          <w:color w:val="auto"/>
          <w:u w:val="none"/>
        </w:rPr>
        <w:t xml:space="preserve"> </w:t>
      </w:r>
      <w:r>
        <w:rPr>
          <w:rStyle w:val="Hyperlink"/>
          <w:color w:val="auto"/>
          <w:u w:val="none"/>
        </w:rPr>
        <w:t xml:space="preserve">data for many of the burden indicators is unavailable or limited for federally recognized tribal lands and U.S. territories. For that reason, </w:t>
      </w:r>
      <w:r w:rsidRPr="00FD48DF">
        <w:rPr>
          <w:rStyle w:val="Hyperlink"/>
          <w:color w:val="auto"/>
          <w:u w:val="none"/>
        </w:rPr>
        <w:t xml:space="preserve">all U.S. territories </w:t>
      </w:r>
      <w:r w:rsidR="007B539C" w:rsidRPr="00FD48DF">
        <w:rPr>
          <w:rStyle w:val="Hyperlink"/>
          <w:color w:val="auto"/>
          <w:u w:val="none"/>
        </w:rPr>
        <w:t xml:space="preserve">and </w:t>
      </w:r>
      <w:r w:rsidRPr="00FD48DF">
        <w:rPr>
          <w:rStyle w:val="Hyperlink"/>
          <w:color w:val="auto"/>
          <w:u w:val="none"/>
        </w:rPr>
        <w:t xml:space="preserve">federally recognized tribal lands are categorized as disadvantaged.  </w:t>
      </w:r>
    </w:p>
    <w:p w14:paraId="4D827C10" w14:textId="77777777" w:rsidR="00813397" w:rsidRDefault="00813397" w:rsidP="00813397">
      <w:pPr>
        <w:pStyle w:val="ListParagraph"/>
        <w:ind w:left="0"/>
        <w:rPr>
          <w:rStyle w:val="Hyperlink"/>
          <w:color w:val="auto"/>
          <w:u w:val="none"/>
        </w:rPr>
      </w:pPr>
    </w:p>
    <w:p w14:paraId="21DE46DC" w14:textId="77777777" w:rsidR="00813397" w:rsidRPr="00103F58" w:rsidRDefault="00813397" w:rsidP="00813397">
      <w:pPr>
        <w:pStyle w:val="ListParagraph"/>
        <w:ind w:left="0"/>
        <w:rPr>
          <w:rStyle w:val="Hyperlink"/>
          <w:b/>
          <w:bCs/>
          <w:color w:val="auto"/>
          <w:u w:val="none"/>
        </w:rPr>
      </w:pPr>
      <w:r w:rsidRPr="00103F58">
        <w:rPr>
          <w:rStyle w:val="Hyperlink"/>
          <w:b/>
          <w:bCs/>
          <w:color w:val="auto"/>
          <w:u w:val="none"/>
        </w:rPr>
        <w:t>Climate and Economic Justice Screening Tool (CEJST)</w:t>
      </w:r>
    </w:p>
    <w:p w14:paraId="67511F9D" w14:textId="77777777" w:rsidR="00813397" w:rsidRDefault="00813397" w:rsidP="00813397">
      <w:pPr>
        <w:pStyle w:val="ListParagraph"/>
        <w:ind w:left="0"/>
        <w:rPr>
          <w:rStyle w:val="Hyperlink"/>
          <w:color w:val="auto"/>
          <w:u w:val="none"/>
        </w:rPr>
      </w:pPr>
      <w:r>
        <w:rPr>
          <w:rStyle w:val="Hyperlink"/>
          <w:color w:val="auto"/>
          <w:u w:val="none"/>
        </w:rPr>
        <w:t xml:space="preserve">The full methodology can be found </w:t>
      </w:r>
      <w:hyperlink r:id="rId14" w:anchor="3/34.69/-98.79" w:history="1">
        <w:r w:rsidRPr="006955B2">
          <w:rPr>
            <w:rStyle w:val="Hyperlink"/>
          </w:rPr>
          <w:t>here</w:t>
        </w:r>
      </w:hyperlink>
      <w:r>
        <w:rPr>
          <w:rStyle w:val="Hyperlink"/>
          <w:color w:val="auto"/>
          <w:u w:val="none"/>
        </w:rPr>
        <w:t xml:space="preserve"> </w:t>
      </w:r>
    </w:p>
    <w:p w14:paraId="2E36C4FE" w14:textId="77777777" w:rsidR="00813397" w:rsidRDefault="00813397" w:rsidP="00813397">
      <w:pPr>
        <w:pStyle w:val="ListParagraph"/>
        <w:numPr>
          <w:ilvl w:val="0"/>
          <w:numId w:val="3"/>
        </w:numPr>
        <w:ind w:left="720"/>
        <w:rPr>
          <w:rStyle w:val="Hyperlink"/>
          <w:color w:val="auto"/>
          <w:u w:val="none"/>
        </w:rPr>
      </w:pPr>
      <w:r w:rsidRPr="00EE2124">
        <w:rPr>
          <w:rStyle w:val="Hyperlink"/>
          <w:b/>
          <w:bCs/>
          <w:color w:val="auto"/>
        </w:rPr>
        <w:t>Burden measurement:</w:t>
      </w:r>
      <w:r>
        <w:rPr>
          <w:rStyle w:val="Hyperlink"/>
          <w:color w:val="auto"/>
          <w:u w:val="none"/>
        </w:rPr>
        <w:t xml:space="preserve"> threshold based.</w:t>
      </w:r>
      <w:r>
        <w:rPr>
          <w:rStyle w:val="Hyperlink"/>
          <w:color w:val="auto"/>
          <w:u w:val="none"/>
        </w:rPr>
        <w:br/>
        <w:t>If a census tract is above the threshold for one or more environmental or climate indicators and is also above the threshold for one or more socioeconomic indicators, it is labeled “disadvantaged”</w:t>
      </w:r>
    </w:p>
    <w:p w14:paraId="063020E3" w14:textId="77777777" w:rsidR="00813397" w:rsidRDefault="00813397" w:rsidP="00813397">
      <w:pPr>
        <w:pStyle w:val="ListParagraph"/>
        <w:numPr>
          <w:ilvl w:val="0"/>
          <w:numId w:val="3"/>
        </w:numPr>
        <w:ind w:left="720"/>
        <w:rPr>
          <w:rStyle w:val="Hyperlink"/>
          <w:color w:val="auto"/>
          <w:u w:val="none"/>
        </w:rPr>
      </w:pPr>
      <w:r w:rsidRPr="00EE2124">
        <w:rPr>
          <w:rStyle w:val="Hyperlink"/>
          <w:b/>
          <w:bCs/>
          <w:color w:val="auto"/>
        </w:rPr>
        <w:t>Burden indicators</w:t>
      </w:r>
      <w:r w:rsidRPr="00EE2124">
        <w:rPr>
          <w:rStyle w:val="Hyperlink"/>
          <w:color w:val="auto"/>
        </w:rPr>
        <w:t>:</w:t>
      </w:r>
      <w:r>
        <w:rPr>
          <w:rStyle w:val="Hyperlink"/>
          <w:color w:val="auto"/>
          <w:u w:val="none"/>
        </w:rPr>
        <w:t xml:space="preserve"> expected agriculture loss rate, expected building loss rate, expected population loss rate, low-income population, higher education attainment, energy burden, air PM2.5 level, diesel particular matter exposure, traffic proximity and volume, lead paint, housing cost burden, home value, proximity to hazardous waste facilities, proximity to national priorities list (NPL) sites, proximity to risk management plan (RMP) facilities, wastewater discharge, asthma rates, diabetes rates, heart disease, low life expectancy, linguistic isolation, unemployment, poverty, high school degree attainment, low median income. </w:t>
      </w:r>
    </w:p>
    <w:p w14:paraId="4F594148" w14:textId="0CF38544" w:rsidR="00FD6E72" w:rsidRPr="000147E8" w:rsidRDefault="00813397" w:rsidP="000147E8">
      <w:pPr>
        <w:pStyle w:val="ListParagraph"/>
        <w:numPr>
          <w:ilvl w:val="0"/>
          <w:numId w:val="3"/>
        </w:numPr>
        <w:ind w:left="720"/>
        <w:rPr>
          <w:i/>
          <w:iCs/>
        </w:rPr>
      </w:pPr>
      <w:r w:rsidRPr="000147E8">
        <w:rPr>
          <w:rStyle w:val="Hyperlink"/>
          <w:b/>
          <w:bCs/>
          <w:color w:val="auto"/>
        </w:rPr>
        <w:t>Data limitations</w:t>
      </w:r>
      <w:r w:rsidRPr="000147E8">
        <w:rPr>
          <w:rStyle w:val="Hyperlink"/>
          <w:color w:val="auto"/>
        </w:rPr>
        <w:t xml:space="preserve">: </w:t>
      </w:r>
      <w:r w:rsidRPr="000147E8">
        <w:rPr>
          <w:rStyle w:val="Hyperlink"/>
          <w:color w:val="auto"/>
          <w:u w:val="none"/>
        </w:rPr>
        <w:t xml:space="preserve">data for many of the burden indicators is unavailable or limited for federally recognized tribal lands and U.S. territories. For that reason, Puerto Rico </w:t>
      </w:r>
      <w:r w:rsidR="007B539C">
        <w:rPr>
          <w:rStyle w:val="Hyperlink"/>
          <w:color w:val="auto"/>
          <w:u w:val="none"/>
        </w:rPr>
        <w:t>is</w:t>
      </w:r>
      <w:r w:rsidR="007B539C" w:rsidRPr="000147E8">
        <w:rPr>
          <w:rStyle w:val="Hyperlink"/>
          <w:color w:val="auto"/>
          <w:u w:val="none"/>
        </w:rPr>
        <w:t xml:space="preserve"> </w:t>
      </w:r>
      <w:r w:rsidRPr="000147E8">
        <w:rPr>
          <w:rStyle w:val="Hyperlink"/>
          <w:color w:val="auto"/>
          <w:u w:val="none"/>
        </w:rPr>
        <w:t>the only U.S. territor</w:t>
      </w:r>
      <w:r w:rsidR="00063C7A">
        <w:rPr>
          <w:rStyle w:val="Hyperlink"/>
          <w:color w:val="auto"/>
          <w:u w:val="none"/>
        </w:rPr>
        <w:t>y</w:t>
      </w:r>
      <w:r w:rsidRPr="000147E8">
        <w:rPr>
          <w:rStyle w:val="Hyperlink"/>
          <w:color w:val="auto"/>
          <w:u w:val="none"/>
        </w:rPr>
        <w:t xml:space="preserve"> included in the CEJST tool. </w:t>
      </w:r>
    </w:p>
    <w:sectPr w:rsidR="00FD6E72" w:rsidRPr="000147E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B6A6" w14:textId="77777777" w:rsidR="00A97241" w:rsidRDefault="00A97241" w:rsidP="003C095A">
      <w:pPr>
        <w:spacing w:after="0" w:line="240" w:lineRule="auto"/>
      </w:pPr>
      <w:r>
        <w:separator/>
      </w:r>
    </w:p>
  </w:endnote>
  <w:endnote w:type="continuationSeparator" w:id="0">
    <w:p w14:paraId="313F525C" w14:textId="77777777" w:rsidR="00A97241" w:rsidRDefault="00A97241" w:rsidP="003C095A">
      <w:pPr>
        <w:spacing w:after="0" w:line="240" w:lineRule="auto"/>
      </w:pPr>
      <w:r>
        <w:continuationSeparator/>
      </w:r>
    </w:p>
  </w:endnote>
  <w:endnote w:type="continuationNotice" w:id="1">
    <w:p w14:paraId="0070F26E" w14:textId="77777777" w:rsidR="00A97241" w:rsidRDefault="00A97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3AAE" w14:textId="77777777" w:rsidR="00D2447C" w:rsidRDefault="00D24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75169"/>
      <w:docPartObj>
        <w:docPartGallery w:val="Page Numbers (Bottom of Page)"/>
        <w:docPartUnique/>
      </w:docPartObj>
    </w:sdtPr>
    <w:sdtEndPr>
      <w:rPr>
        <w:noProof/>
      </w:rPr>
    </w:sdtEndPr>
    <w:sdtContent>
      <w:p w14:paraId="763DF8BE" w14:textId="05E30B2C" w:rsidR="00F2474A" w:rsidRDefault="00F24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DF94F" w14:textId="77777777" w:rsidR="00F2474A" w:rsidRDefault="00F24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C4DC" w14:textId="77777777" w:rsidR="00D2447C" w:rsidRDefault="00D24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AB9F" w14:textId="77777777" w:rsidR="00A97241" w:rsidRDefault="00A97241" w:rsidP="003C095A">
      <w:pPr>
        <w:spacing w:after="0" w:line="240" w:lineRule="auto"/>
      </w:pPr>
      <w:r>
        <w:separator/>
      </w:r>
    </w:p>
  </w:footnote>
  <w:footnote w:type="continuationSeparator" w:id="0">
    <w:p w14:paraId="2AF54F84" w14:textId="77777777" w:rsidR="00A97241" w:rsidRDefault="00A97241" w:rsidP="003C095A">
      <w:pPr>
        <w:spacing w:after="0" w:line="240" w:lineRule="auto"/>
      </w:pPr>
      <w:r>
        <w:continuationSeparator/>
      </w:r>
    </w:p>
  </w:footnote>
  <w:footnote w:type="continuationNotice" w:id="1">
    <w:p w14:paraId="11EB832D" w14:textId="77777777" w:rsidR="00A97241" w:rsidRDefault="00A97241">
      <w:pPr>
        <w:spacing w:after="0" w:line="240" w:lineRule="auto"/>
      </w:pPr>
    </w:p>
  </w:footnote>
  <w:footnote w:id="2">
    <w:p w14:paraId="53A4A8FD" w14:textId="35BE8250" w:rsidR="008D2535" w:rsidRPr="00A50C3A" w:rsidRDefault="008D2535" w:rsidP="008D2535">
      <w:pPr>
        <w:pStyle w:val="FootnoteText"/>
        <w:rPr>
          <w:rFonts w:cstheme="minorHAnsi"/>
        </w:rPr>
      </w:pPr>
      <w:r w:rsidRPr="00A50C3A">
        <w:rPr>
          <w:rStyle w:val="FootnoteReference"/>
          <w:rFonts w:cstheme="minorHAnsi"/>
        </w:rPr>
        <w:footnoteRef/>
      </w:r>
      <w:r w:rsidRPr="00A50C3A">
        <w:rPr>
          <w:rFonts w:cstheme="minorHAnsi"/>
        </w:rPr>
        <w:t xml:space="preserve"> </w:t>
      </w:r>
      <w:hyperlink r:id="rId1" w:history="1">
        <w:r w:rsidRPr="00A50C3A">
          <w:rPr>
            <w:rStyle w:val="Hyperlink"/>
            <w:rFonts w:cstheme="minorHAnsi"/>
          </w:rPr>
          <w:t>Minority-serving institutions (MSIs)</w:t>
        </w:r>
      </w:hyperlink>
      <w:r w:rsidRPr="00A50C3A">
        <w:rPr>
          <w:rFonts w:cstheme="minorHAnsi"/>
        </w:rPr>
        <w:t xml:space="preserve"> </w:t>
      </w:r>
      <w:r w:rsidR="00A50C3A" w:rsidRPr="00A50C3A">
        <w:rPr>
          <w:rFonts w:cstheme="minorHAnsi"/>
        </w:rPr>
        <w:t>are federally recognized Title IV colleges and universities that enroll high concentrations of minority students.  Seven categories of MSI are defined in US law under Title III of the Higher Education Act of 1965.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1D66" w14:textId="77777777" w:rsidR="00D2447C" w:rsidRDefault="00D24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A222" w14:textId="10F9F562" w:rsidR="003C095A" w:rsidRPr="003C095A" w:rsidRDefault="003C095A">
    <w:pPr>
      <w:pStyle w:val="Head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4C61" w14:textId="77777777" w:rsidR="00D2447C" w:rsidRDefault="00D24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1E6B"/>
    <w:multiLevelType w:val="hybridMultilevel"/>
    <w:tmpl w:val="29DE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407B8"/>
    <w:multiLevelType w:val="hybridMultilevel"/>
    <w:tmpl w:val="EB583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983BFC"/>
    <w:multiLevelType w:val="hybridMultilevel"/>
    <w:tmpl w:val="288E21C6"/>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604D3469"/>
    <w:multiLevelType w:val="hybridMultilevel"/>
    <w:tmpl w:val="7B10B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B456B"/>
    <w:multiLevelType w:val="hybridMultilevel"/>
    <w:tmpl w:val="56D48C36"/>
    <w:lvl w:ilvl="0" w:tplc="FFFFFFFF">
      <w:start w:val="1"/>
      <w:numFmt w:val="bullet"/>
      <w:lvlText w:val=""/>
      <w:lvlJc w:val="left"/>
      <w:pPr>
        <w:ind w:left="1440" w:hanging="360"/>
      </w:pPr>
      <w:rPr>
        <w:rFonts w:ascii="Symbol" w:hAnsi="Symbol" w:hint="default"/>
      </w:rPr>
    </w:lvl>
    <w:lvl w:ilvl="1" w:tplc="91968ADC">
      <w:start w:val="1"/>
      <w:numFmt w:val="decimal"/>
      <w:lvlText w:val="%2)"/>
      <w:lvlJc w:val="left"/>
      <w:pPr>
        <w:ind w:left="2160" w:hanging="360"/>
      </w:pPr>
      <w:rPr>
        <w:b w:val="0"/>
        <w:bCs w:val="0"/>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011957574">
    <w:abstractNumId w:val="0"/>
  </w:num>
  <w:num w:numId="2" w16cid:durableId="1744913454">
    <w:abstractNumId w:val="3"/>
  </w:num>
  <w:num w:numId="3" w16cid:durableId="465242729">
    <w:abstractNumId w:val="1"/>
  </w:num>
  <w:num w:numId="4" w16cid:durableId="1410225416">
    <w:abstractNumId w:val="4"/>
  </w:num>
  <w:num w:numId="5" w16cid:durableId="203638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8C"/>
    <w:rsid w:val="00000BB2"/>
    <w:rsid w:val="00005C83"/>
    <w:rsid w:val="00007888"/>
    <w:rsid w:val="000147E8"/>
    <w:rsid w:val="000154F4"/>
    <w:rsid w:val="00021F01"/>
    <w:rsid w:val="000231E1"/>
    <w:rsid w:val="000248EC"/>
    <w:rsid w:val="000332F0"/>
    <w:rsid w:val="00041F42"/>
    <w:rsid w:val="00047C7E"/>
    <w:rsid w:val="00053AA5"/>
    <w:rsid w:val="00063C7A"/>
    <w:rsid w:val="00065F95"/>
    <w:rsid w:val="00082308"/>
    <w:rsid w:val="000842BA"/>
    <w:rsid w:val="00091EBF"/>
    <w:rsid w:val="00092852"/>
    <w:rsid w:val="000953B7"/>
    <w:rsid w:val="00095BD3"/>
    <w:rsid w:val="000A3741"/>
    <w:rsid w:val="000B245A"/>
    <w:rsid w:val="000C5B22"/>
    <w:rsid w:val="000C7C1C"/>
    <w:rsid w:val="000D35D6"/>
    <w:rsid w:val="000D4D3E"/>
    <w:rsid w:val="000D61E9"/>
    <w:rsid w:val="000D63E2"/>
    <w:rsid w:val="000E28AF"/>
    <w:rsid w:val="000E55E4"/>
    <w:rsid w:val="000E7D1E"/>
    <w:rsid w:val="000F10F0"/>
    <w:rsid w:val="000F13C5"/>
    <w:rsid w:val="000F1457"/>
    <w:rsid w:val="000F51EB"/>
    <w:rsid w:val="000F703B"/>
    <w:rsid w:val="000F7BCF"/>
    <w:rsid w:val="00103F58"/>
    <w:rsid w:val="00113A48"/>
    <w:rsid w:val="0011467C"/>
    <w:rsid w:val="001160E2"/>
    <w:rsid w:val="001203E7"/>
    <w:rsid w:val="0012615F"/>
    <w:rsid w:val="00130D2F"/>
    <w:rsid w:val="00131E21"/>
    <w:rsid w:val="00134405"/>
    <w:rsid w:val="00145309"/>
    <w:rsid w:val="0015004D"/>
    <w:rsid w:val="0015582D"/>
    <w:rsid w:val="00166B49"/>
    <w:rsid w:val="001719AD"/>
    <w:rsid w:val="00175495"/>
    <w:rsid w:val="00176A3F"/>
    <w:rsid w:val="00184C6D"/>
    <w:rsid w:val="00187655"/>
    <w:rsid w:val="001920AB"/>
    <w:rsid w:val="0019511F"/>
    <w:rsid w:val="001A1D2C"/>
    <w:rsid w:val="001B0A84"/>
    <w:rsid w:val="001B3A5A"/>
    <w:rsid w:val="001B61BB"/>
    <w:rsid w:val="001C239D"/>
    <w:rsid w:val="001D2E27"/>
    <w:rsid w:val="001E07BC"/>
    <w:rsid w:val="001E2433"/>
    <w:rsid w:val="001E4B30"/>
    <w:rsid w:val="00201A6A"/>
    <w:rsid w:val="0021564B"/>
    <w:rsid w:val="00215B34"/>
    <w:rsid w:val="00222275"/>
    <w:rsid w:val="00230246"/>
    <w:rsid w:val="002340F7"/>
    <w:rsid w:val="0024373F"/>
    <w:rsid w:val="002617AB"/>
    <w:rsid w:val="00271813"/>
    <w:rsid w:val="00271BC9"/>
    <w:rsid w:val="002968F7"/>
    <w:rsid w:val="00296B10"/>
    <w:rsid w:val="002E1CBE"/>
    <w:rsid w:val="002E51D7"/>
    <w:rsid w:val="002F1ADA"/>
    <w:rsid w:val="002F5FFB"/>
    <w:rsid w:val="002F6172"/>
    <w:rsid w:val="00300764"/>
    <w:rsid w:val="00300A97"/>
    <w:rsid w:val="003069CB"/>
    <w:rsid w:val="00307C9A"/>
    <w:rsid w:val="00322442"/>
    <w:rsid w:val="00326607"/>
    <w:rsid w:val="0033322F"/>
    <w:rsid w:val="00333333"/>
    <w:rsid w:val="00334EAC"/>
    <w:rsid w:val="00350F0E"/>
    <w:rsid w:val="00361237"/>
    <w:rsid w:val="003640AB"/>
    <w:rsid w:val="003654B9"/>
    <w:rsid w:val="003659C3"/>
    <w:rsid w:val="00366AAA"/>
    <w:rsid w:val="003722F5"/>
    <w:rsid w:val="003A1CF9"/>
    <w:rsid w:val="003B3B04"/>
    <w:rsid w:val="003B53E2"/>
    <w:rsid w:val="003C095A"/>
    <w:rsid w:val="003C0DF2"/>
    <w:rsid w:val="003C1994"/>
    <w:rsid w:val="003C5C14"/>
    <w:rsid w:val="003C5C7B"/>
    <w:rsid w:val="003D0CE2"/>
    <w:rsid w:val="003D458E"/>
    <w:rsid w:val="003D5966"/>
    <w:rsid w:val="003E1D46"/>
    <w:rsid w:val="003F76AD"/>
    <w:rsid w:val="004073F4"/>
    <w:rsid w:val="004074BB"/>
    <w:rsid w:val="004138D5"/>
    <w:rsid w:val="0041608E"/>
    <w:rsid w:val="0042330F"/>
    <w:rsid w:val="00437BEA"/>
    <w:rsid w:val="00441BBE"/>
    <w:rsid w:val="004420E4"/>
    <w:rsid w:val="004452D3"/>
    <w:rsid w:val="00461F0F"/>
    <w:rsid w:val="00466EB6"/>
    <w:rsid w:val="00474D66"/>
    <w:rsid w:val="00482A1C"/>
    <w:rsid w:val="00483BAF"/>
    <w:rsid w:val="00487AFB"/>
    <w:rsid w:val="00487B68"/>
    <w:rsid w:val="004915D9"/>
    <w:rsid w:val="004A1FEC"/>
    <w:rsid w:val="004A5321"/>
    <w:rsid w:val="004B58F3"/>
    <w:rsid w:val="004B7792"/>
    <w:rsid w:val="004C3CF1"/>
    <w:rsid w:val="004D1D33"/>
    <w:rsid w:val="004F5DFC"/>
    <w:rsid w:val="004F689C"/>
    <w:rsid w:val="005053C1"/>
    <w:rsid w:val="00521FA6"/>
    <w:rsid w:val="00524A06"/>
    <w:rsid w:val="0052652A"/>
    <w:rsid w:val="0053056D"/>
    <w:rsid w:val="00532032"/>
    <w:rsid w:val="005335AB"/>
    <w:rsid w:val="00537118"/>
    <w:rsid w:val="00540737"/>
    <w:rsid w:val="005458D1"/>
    <w:rsid w:val="0055172E"/>
    <w:rsid w:val="00552705"/>
    <w:rsid w:val="00560F07"/>
    <w:rsid w:val="00571B89"/>
    <w:rsid w:val="00582522"/>
    <w:rsid w:val="00584CC2"/>
    <w:rsid w:val="005877EC"/>
    <w:rsid w:val="00587ADD"/>
    <w:rsid w:val="00593C82"/>
    <w:rsid w:val="00596B79"/>
    <w:rsid w:val="00596FC5"/>
    <w:rsid w:val="005A4A67"/>
    <w:rsid w:val="005A7E6F"/>
    <w:rsid w:val="005B2BD3"/>
    <w:rsid w:val="005B4ABA"/>
    <w:rsid w:val="005C6D7C"/>
    <w:rsid w:val="005D03C2"/>
    <w:rsid w:val="005D5AD4"/>
    <w:rsid w:val="00602B95"/>
    <w:rsid w:val="006112AB"/>
    <w:rsid w:val="006137D5"/>
    <w:rsid w:val="00615B68"/>
    <w:rsid w:val="00615DFF"/>
    <w:rsid w:val="006416CD"/>
    <w:rsid w:val="00650914"/>
    <w:rsid w:val="006628E3"/>
    <w:rsid w:val="00664337"/>
    <w:rsid w:val="006703E5"/>
    <w:rsid w:val="00670729"/>
    <w:rsid w:val="00670AE9"/>
    <w:rsid w:val="00695494"/>
    <w:rsid w:val="006955B2"/>
    <w:rsid w:val="00696FA3"/>
    <w:rsid w:val="006A1D3B"/>
    <w:rsid w:val="006C39A8"/>
    <w:rsid w:val="006D5F20"/>
    <w:rsid w:val="006D7DBC"/>
    <w:rsid w:val="006E017F"/>
    <w:rsid w:val="006F1F3F"/>
    <w:rsid w:val="006F3770"/>
    <w:rsid w:val="006F5285"/>
    <w:rsid w:val="006F6529"/>
    <w:rsid w:val="0070128C"/>
    <w:rsid w:val="007020DC"/>
    <w:rsid w:val="00721F2B"/>
    <w:rsid w:val="00730807"/>
    <w:rsid w:val="00731904"/>
    <w:rsid w:val="0073349D"/>
    <w:rsid w:val="00734C5A"/>
    <w:rsid w:val="00752C36"/>
    <w:rsid w:val="00752C55"/>
    <w:rsid w:val="00763D67"/>
    <w:rsid w:val="0077419D"/>
    <w:rsid w:val="00781015"/>
    <w:rsid w:val="0078226D"/>
    <w:rsid w:val="00791E36"/>
    <w:rsid w:val="007A28C2"/>
    <w:rsid w:val="007B004A"/>
    <w:rsid w:val="007B539C"/>
    <w:rsid w:val="007F1446"/>
    <w:rsid w:val="007F7498"/>
    <w:rsid w:val="007F74C2"/>
    <w:rsid w:val="00813397"/>
    <w:rsid w:val="00822E12"/>
    <w:rsid w:val="00827753"/>
    <w:rsid w:val="00831FB9"/>
    <w:rsid w:val="00834710"/>
    <w:rsid w:val="008402CA"/>
    <w:rsid w:val="00842069"/>
    <w:rsid w:val="00845F22"/>
    <w:rsid w:val="00851ECF"/>
    <w:rsid w:val="0085247C"/>
    <w:rsid w:val="0085471D"/>
    <w:rsid w:val="00854769"/>
    <w:rsid w:val="008579C4"/>
    <w:rsid w:val="008814C0"/>
    <w:rsid w:val="008A0812"/>
    <w:rsid w:val="008A6CCB"/>
    <w:rsid w:val="008B0BF4"/>
    <w:rsid w:val="008B688F"/>
    <w:rsid w:val="008B7FD1"/>
    <w:rsid w:val="008C4820"/>
    <w:rsid w:val="008D2535"/>
    <w:rsid w:val="008D2A72"/>
    <w:rsid w:val="008D513B"/>
    <w:rsid w:val="008D7AF5"/>
    <w:rsid w:val="008E0448"/>
    <w:rsid w:val="008E3F53"/>
    <w:rsid w:val="008E7082"/>
    <w:rsid w:val="00902896"/>
    <w:rsid w:val="009032E4"/>
    <w:rsid w:val="0091049B"/>
    <w:rsid w:val="00911510"/>
    <w:rsid w:val="009318D9"/>
    <w:rsid w:val="0094474F"/>
    <w:rsid w:val="00964D29"/>
    <w:rsid w:val="009765DE"/>
    <w:rsid w:val="009873D4"/>
    <w:rsid w:val="00991D59"/>
    <w:rsid w:val="009943F7"/>
    <w:rsid w:val="00997520"/>
    <w:rsid w:val="009A5634"/>
    <w:rsid w:val="009C45E2"/>
    <w:rsid w:val="009D74ED"/>
    <w:rsid w:val="009E1A25"/>
    <w:rsid w:val="00A03989"/>
    <w:rsid w:val="00A052BE"/>
    <w:rsid w:val="00A07568"/>
    <w:rsid w:val="00A161F7"/>
    <w:rsid w:val="00A46B33"/>
    <w:rsid w:val="00A50C3A"/>
    <w:rsid w:val="00A569D9"/>
    <w:rsid w:val="00A827AB"/>
    <w:rsid w:val="00A82C4A"/>
    <w:rsid w:val="00A86536"/>
    <w:rsid w:val="00A97241"/>
    <w:rsid w:val="00AA7B05"/>
    <w:rsid w:val="00AE4F43"/>
    <w:rsid w:val="00AE602D"/>
    <w:rsid w:val="00AF46B2"/>
    <w:rsid w:val="00AF4B90"/>
    <w:rsid w:val="00AF5832"/>
    <w:rsid w:val="00AF5F08"/>
    <w:rsid w:val="00B0650D"/>
    <w:rsid w:val="00B10D20"/>
    <w:rsid w:val="00B20836"/>
    <w:rsid w:val="00B23E7E"/>
    <w:rsid w:val="00B32FB5"/>
    <w:rsid w:val="00B359E9"/>
    <w:rsid w:val="00B529CC"/>
    <w:rsid w:val="00B60A49"/>
    <w:rsid w:val="00B60BA1"/>
    <w:rsid w:val="00B65868"/>
    <w:rsid w:val="00B82946"/>
    <w:rsid w:val="00B85FB5"/>
    <w:rsid w:val="00B94A04"/>
    <w:rsid w:val="00B952F7"/>
    <w:rsid w:val="00BA0314"/>
    <w:rsid w:val="00BA689E"/>
    <w:rsid w:val="00BA799F"/>
    <w:rsid w:val="00BB03F7"/>
    <w:rsid w:val="00BB48A8"/>
    <w:rsid w:val="00BB7587"/>
    <w:rsid w:val="00BC260A"/>
    <w:rsid w:val="00BC507D"/>
    <w:rsid w:val="00BD5EB7"/>
    <w:rsid w:val="00BD798F"/>
    <w:rsid w:val="00BE25AE"/>
    <w:rsid w:val="00BE597E"/>
    <w:rsid w:val="00BE6F47"/>
    <w:rsid w:val="00BF48DF"/>
    <w:rsid w:val="00BF6FDB"/>
    <w:rsid w:val="00C15C37"/>
    <w:rsid w:val="00C372F0"/>
    <w:rsid w:val="00C4176C"/>
    <w:rsid w:val="00C52346"/>
    <w:rsid w:val="00C5447C"/>
    <w:rsid w:val="00C72D4E"/>
    <w:rsid w:val="00C80D20"/>
    <w:rsid w:val="00C83765"/>
    <w:rsid w:val="00C92DA9"/>
    <w:rsid w:val="00C96801"/>
    <w:rsid w:val="00C96A8A"/>
    <w:rsid w:val="00CB2C4F"/>
    <w:rsid w:val="00CB5860"/>
    <w:rsid w:val="00CB6B47"/>
    <w:rsid w:val="00CB786F"/>
    <w:rsid w:val="00CC18B7"/>
    <w:rsid w:val="00CC3284"/>
    <w:rsid w:val="00CD0164"/>
    <w:rsid w:val="00CD4628"/>
    <w:rsid w:val="00CD6389"/>
    <w:rsid w:val="00CE04EF"/>
    <w:rsid w:val="00CF186A"/>
    <w:rsid w:val="00CF509F"/>
    <w:rsid w:val="00D04F60"/>
    <w:rsid w:val="00D12989"/>
    <w:rsid w:val="00D2447C"/>
    <w:rsid w:val="00D26340"/>
    <w:rsid w:val="00D32285"/>
    <w:rsid w:val="00D40502"/>
    <w:rsid w:val="00D473EE"/>
    <w:rsid w:val="00D546EE"/>
    <w:rsid w:val="00D636FD"/>
    <w:rsid w:val="00D6741E"/>
    <w:rsid w:val="00D744EF"/>
    <w:rsid w:val="00D77CF7"/>
    <w:rsid w:val="00D873AF"/>
    <w:rsid w:val="00D90288"/>
    <w:rsid w:val="00D90AD5"/>
    <w:rsid w:val="00D91066"/>
    <w:rsid w:val="00D964D7"/>
    <w:rsid w:val="00DA348B"/>
    <w:rsid w:val="00DA3EE8"/>
    <w:rsid w:val="00DB02E3"/>
    <w:rsid w:val="00DC181D"/>
    <w:rsid w:val="00DC2D02"/>
    <w:rsid w:val="00DD52B5"/>
    <w:rsid w:val="00DD5817"/>
    <w:rsid w:val="00DE26A0"/>
    <w:rsid w:val="00DF3407"/>
    <w:rsid w:val="00DF45F8"/>
    <w:rsid w:val="00E1178C"/>
    <w:rsid w:val="00E14354"/>
    <w:rsid w:val="00E16C2F"/>
    <w:rsid w:val="00E54947"/>
    <w:rsid w:val="00E54F65"/>
    <w:rsid w:val="00E71400"/>
    <w:rsid w:val="00E84C76"/>
    <w:rsid w:val="00E85031"/>
    <w:rsid w:val="00E87783"/>
    <w:rsid w:val="00EA61CF"/>
    <w:rsid w:val="00EB528B"/>
    <w:rsid w:val="00EC101F"/>
    <w:rsid w:val="00ED3A61"/>
    <w:rsid w:val="00ED498A"/>
    <w:rsid w:val="00EE0A0E"/>
    <w:rsid w:val="00EE2124"/>
    <w:rsid w:val="00EE7988"/>
    <w:rsid w:val="00EF47D8"/>
    <w:rsid w:val="00EF6EFD"/>
    <w:rsid w:val="00EF6F29"/>
    <w:rsid w:val="00F06270"/>
    <w:rsid w:val="00F07DC1"/>
    <w:rsid w:val="00F1332C"/>
    <w:rsid w:val="00F17FAE"/>
    <w:rsid w:val="00F24020"/>
    <w:rsid w:val="00F2474A"/>
    <w:rsid w:val="00F24C9D"/>
    <w:rsid w:val="00F36EF0"/>
    <w:rsid w:val="00F40000"/>
    <w:rsid w:val="00F45D57"/>
    <w:rsid w:val="00F46EBF"/>
    <w:rsid w:val="00F64C91"/>
    <w:rsid w:val="00F70302"/>
    <w:rsid w:val="00F8128B"/>
    <w:rsid w:val="00F87291"/>
    <w:rsid w:val="00F9501F"/>
    <w:rsid w:val="00F95175"/>
    <w:rsid w:val="00F96E34"/>
    <w:rsid w:val="00FA125F"/>
    <w:rsid w:val="00FA1334"/>
    <w:rsid w:val="00FA1985"/>
    <w:rsid w:val="00FA5E9D"/>
    <w:rsid w:val="00FD48DF"/>
    <w:rsid w:val="00FD6E72"/>
    <w:rsid w:val="00FE1ED7"/>
    <w:rsid w:val="00FE4D51"/>
    <w:rsid w:val="00FF3DFB"/>
    <w:rsid w:val="0362DDC5"/>
    <w:rsid w:val="0A479A43"/>
    <w:rsid w:val="0B9F9FF0"/>
    <w:rsid w:val="14D40654"/>
    <w:rsid w:val="15593CC1"/>
    <w:rsid w:val="160590E0"/>
    <w:rsid w:val="1849ED5B"/>
    <w:rsid w:val="224DB3FA"/>
    <w:rsid w:val="2B9F9F6D"/>
    <w:rsid w:val="365459B5"/>
    <w:rsid w:val="3A00CA79"/>
    <w:rsid w:val="3B1A67B1"/>
    <w:rsid w:val="3F12421F"/>
    <w:rsid w:val="46F3A114"/>
    <w:rsid w:val="510101DA"/>
    <w:rsid w:val="5613D6DC"/>
    <w:rsid w:val="60A0686C"/>
    <w:rsid w:val="6E9B6538"/>
    <w:rsid w:val="78694C64"/>
    <w:rsid w:val="78F00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B776"/>
  <w15:chartTrackingRefBased/>
  <w15:docId w15:val="{CD29718B-3FB1-4D42-B99D-B4AAF5CE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3F"/>
    <w:pPr>
      <w:ind w:left="720"/>
      <w:contextualSpacing/>
    </w:pPr>
  </w:style>
  <w:style w:type="character" w:styleId="Hyperlink">
    <w:name w:val="Hyperlink"/>
    <w:basedOn w:val="DefaultParagraphFont"/>
    <w:uiPriority w:val="99"/>
    <w:unhideWhenUsed/>
    <w:rsid w:val="006F1F3F"/>
    <w:rPr>
      <w:color w:val="0000FF"/>
      <w:u w:val="single"/>
    </w:rPr>
  </w:style>
  <w:style w:type="paragraph" w:styleId="Header">
    <w:name w:val="header"/>
    <w:basedOn w:val="Normal"/>
    <w:link w:val="HeaderChar"/>
    <w:uiPriority w:val="99"/>
    <w:unhideWhenUsed/>
    <w:rsid w:val="003C0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5A"/>
  </w:style>
  <w:style w:type="paragraph" w:styleId="Footer">
    <w:name w:val="footer"/>
    <w:basedOn w:val="Normal"/>
    <w:link w:val="FooterChar"/>
    <w:uiPriority w:val="99"/>
    <w:unhideWhenUsed/>
    <w:rsid w:val="003C0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5A"/>
  </w:style>
  <w:style w:type="character" w:customStyle="1" w:styleId="normaltextrun">
    <w:name w:val="normaltextrun"/>
    <w:basedOn w:val="DefaultParagraphFont"/>
    <w:rsid w:val="00CC18B7"/>
  </w:style>
  <w:style w:type="character" w:customStyle="1" w:styleId="eop">
    <w:name w:val="eop"/>
    <w:basedOn w:val="DefaultParagraphFont"/>
    <w:rsid w:val="00CC18B7"/>
  </w:style>
  <w:style w:type="character" w:styleId="FollowedHyperlink">
    <w:name w:val="FollowedHyperlink"/>
    <w:basedOn w:val="DefaultParagraphFont"/>
    <w:uiPriority w:val="99"/>
    <w:semiHidden/>
    <w:unhideWhenUsed/>
    <w:rsid w:val="00DA348B"/>
    <w:rPr>
      <w:color w:val="954F72" w:themeColor="followedHyperlink"/>
      <w:u w:val="single"/>
    </w:rPr>
  </w:style>
  <w:style w:type="character" w:styleId="UnresolvedMention">
    <w:name w:val="Unresolved Mention"/>
    <w:basedOn w:val="DefaultParagraphFont"/>
    <w:uiPriority w:val="99"/>
    <w:semiHidden/>
    <w:unhideWhenUsed/>
    <w:rsid w:val="006955B2"/>
    <w:rPr>
      <w:color w:val="605E5C"/>
      <w:shd w:val="clear" w:color="auto" w:fill="E1DFDD"/>
    </w:rPr>
  </w:style>
  <w:style w:type="character" w:styleId="Emphasis">
    <w:name w:val="Emphasis"/>
    <w:basedOn w:val="DefaultParagraphFont"/>
    <w:uiPriority w:val="20"/>
    <w:qFormat/>
    <w:rsid w:val="000F7BCF"/>
    <w:rPr>
      <w:i/>
      <w:iCs/>
    </w:rPr>
  </w:style>
  <w:style w:type="paragraph" w:styleId="FootnoteText">
    <w:name w:val="footnote text"/>
    <w:basedOn w:val="Normal"/>
    <w:link w:val="FootnoteTextChar"/>
    <w:uiPriority w:val="99"/>
    <w:semiHidden/>
    <w:unhideWhenUsed/>
    <w:rsid w:val="003D0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CE2"/>
    <w:rPr>
      <w:sz w:val="20"/>
      <w:szCs w:val="20"/>
    </w:rPr>
  </w:style>
  <w:style w:type="character" w:styleId="FootnoteReference">
    <w:name w:val="footnote reference"/>
    <w:basedOn w:val="DefaultParagraphFont"/>
    <w:uiPriority w:val="99"/>
    <w:semiHidden/>
    <w:unhideWhenUsed/>
    <w:rsid w:val="003D0CE2"/>
    <w:rPr>
      <w:vertAlign w:val="superscript"/>
    </w:rPr>
  </w:style>
  <w:style w:type="character" w:styleId="CommentReference">
    <w:name w:val="annotation reference"/>
    <w:basedOn w:val="DefaultParagraphFont"/>
    <w:uiPriority w:val="99"/>
    <w:semiHidden/>
    <w:unhideWhenUsed/>
    <w:rsid w:val="004420E4"/>
    <w:rPr>
      <w:sz w:val="16"/>
      <w:szCs w:val="16"/>
    </w:rPr>
  </w:style>
  <w:style w:type="paragraph" w:styleId="CommentText">
    <w:name w:val="annotation text"/>
    <w:basedOn w:val="Normal"/>
    <w:link w:val="CommentTextChar"/>
    <w:uiPriority w:val="99"/>
    <w:unhideWhenUsed/>
    <w:rsid w:val="004420E4"/>
    <w:pPr>
      <w:spacing w:line="240" w:lineRule="auto"/>
    </w:pPr>
    <w:rPr>
      <w:sz w:val="20"/>
      <w:szCs w:val="20"/>
    </w:rPr>
  </w:style>
  <w:style w:type="character" w:customStyle="1" w:styleId="CommentTextChar">
    <w:name w:val="Comment Text Char"/>
    <w:basedOn w:val="DefaultParagraphFont"/>
    <w:link w:val="CommentText"/>
    <w:uiPriority w:val="99"/>
    <w:rsid w:val="004420E4"/>
    <w:rPr>
      <w:sz w:val="20"/>
      <w:szCs w:val="20"/>
    </w:rPr>
  </w:style>
  <w:style w:type="paragraph" w:styleId="CommentSubject">
    <w:name w:val="annotation subject"/>
    <w:basedOn w:val="CommentText"/>
    <w:next w:val="CommentText"/>
    <w:link w:val="CommentSubjectChar"/>
    <w:uiPriority w:val="99"/>
    <w:semiHidden/>
    <w:unhideWhenUsed/>
    <w:rsid w:val="004420E4"/>
    <w:rPr>
      <w:b/>
      <w:bCs/>
    </w:rPr>
  </w:style>
  <w:style w:type="character" w:customStyle="1" w:styleId="CommentSubjectChar">
    <w:name w:val="Comment Subject Char"/>
    <w:basedOn w:val="CommentTextChar"/>
    <w:link w:val="CommentSubject"/>
    <w:uiPriority w:val="99"/>
    <w:semiHidden/>
    <w:rsid w:val="004420E4"/>
    <w:rPr>
      <w:b/>
      <w:bCs/>
      <w:sz w:val="20"/>
      <w:szCs w:val="20"/>
    </w:rPr>
  </w:style>
  <w:style w:type="paragraph" w:styleId="Revision">
    <w:name w:val="Revision"/>
    <w:hidden/>
    <w:uiPriority w:val="99"/>
    <w:semiHidden/>
    <w:rsid w:val="0015582D"/>
    <w:pPr>
      <w:spacing w:after="0" w:line="240" w:lineRule="auto"/>
    </w:pPr>
  </w:style>
  <w:style w:type="character" w:customStyle="1" w:styleId="cf01">
    <w:name w:val="cf01"/>
    <w:basedOn w:val="DefaultParagraphFont"/>
    <w:rsid w:val="00571B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gov/diversity/justice40-initiativ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creeningtool.geoplatform.gov/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justice.egs.anl.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reeningtool.geoplatform.gov/en/methodolog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gov/diversity/minority-educational-institutions-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131676AC9F4E42A636168993B19896" ma:contentTypeVersion="6" ma:contentTypeDescription="Create a new document." ma:contentTypeScope="" ma:versionID="49185c6c64a6c85d99bdad49c161e52f">
  <xsd:schema xmlns:xsd="http://www.w3.org/2001/XMLSchema" xmlns:xs="http://www.w3.org/2001/XMLSchema" xmlns:p="http://schemas.microsoft.com/office/2006/metadata/properties" xmlns:ns2="2eb65915-85a4-4d00-b69e-11779abaad1e" xmlns:ns3="c12da492-ec84-48a9-b0cd-497836d99c1d" targetNamespace="http://schemas.microsoft.com/office/2006/metadata/properties" ma:root="true" ma:fieldsID="0384f6f7f2ce358b159cd2d1e0f85859" ns2:_="" ns3:_="">
    <xsd:import namespace="2eb65915-85a4-4d00-b69e-11779abaad1e"/>
    <xsd:import namespace="c12da492-ec84-48a9-b0cd-497836d99c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65915-85a4-4d00-b69e-11779abaad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da492-ec84-48a9-b0cd-497836d99c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5DCB0-21ED-4336-8200-6DB9D8C8A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658BB4-30F2-4F49-8EF7-73120E99233D}">
  <ds:schemaRefs>
    <ds:schemaRef ds:uri="http://schemas.openxmlformats.org/officeDocument/2006/bibliography"/>
  </ds:schemaRefs>
</ds:datastoreItem>
</file>

<file path=customXml/itemProps3.xml><?xml version="1.0" encoding="utf-8"?>
<ds:datastoreItem xmlns:ds="http://schemas.openxmlformats.org/officeDocument/2006/customXml" ds:itemID="{0308AF71-DFAE-4829-BC52-58ADC6B1DC86}">
  <ds:schemaRefs>
    <ds:schemaRef ds:uri="http://schemas.microsoft.com/sharepoint/v3/contenttype/forms"/>
  </ds:schemaRefs>
</ds:datastoreItem>
</file>

<file path=customXml/itemProps4.xml><?xml version="1.0" encoding="utf-8"?>
<ds:datastoreItem xmlns:ds="http://schemas.openxmlformats.org/officeDocument/2006/customXml" ds:itemID="{2CC28828-8FEB-4732-BF42-03FF19B58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65915-85a4-4d00-b69e-11779abaad1e"/>
    <ds:schemaRef ds:uri="c12da492-ec84-48a9-b0cd-497836d99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Links>
    <vt:vector size="24" baseType="variant">
      <vt:variant>
        <vt:i4>6357047</vt:i4>
      </vt:variant>
      <vt:variant>
        <vt:i4>9</vt:i4>
      </vt:variant>
      <vt:variant>
        <vt:i4>0</vt:i4>
      </vt:variant>
      <vt:variant>
        <vt:i4>5</vt:i4>
      </vt:variant>
      <vt:variant>
        <vt:lpwstr>https://screeningtool.geoplatform.gov/en/methodology</vt:lpwstr>
      </vt:variant>
      <vt:variant>
        <vt:lpwstr>3/34.69/-98.79</vt:lpwstr>
      </vt:variant>
      <vt:variant>
        <vt:i4>131076</vt:i4>
      </vt:variant>
      <vt:variant>
        <vt:i4>6</vt:i4>
      </vt:variant>
      <vt:variant>
        <vt:i4>0</vt:i4>
      </vt:variant>
      <vt:variant>
        <vt:i4>5</vt:i4>
      </vt:variant>
      <vt:variant>
        <vt:lpwstr>https://www.energy.gov/diversity/justice40-initiative</vt:lpwstr>
      </vt:variant>
      <vt:variant>
        <vt:lpwstr/>
      </vt:variant>
      <vt:variant>
        <vt:i4>5374028</vt:i4>
      </vt:variant>
      <vt:variant>
        <vt:i4>3</vt:i4>
      </vt:variant>
      <vt:variant>
        <vt:i4>0</vt:i4>
      </vt:variant>
      <vt:variant>
        <vt:i4>5</vt:i4>
      </vt:variant>
      <vt:variant>
        <vt:lpwstr>https://screeningtool.geoplatform.gov/en/</vt:lpwstr>
      </vt:variant>
      <vt:variant>
        <vt:lpwstr>3/33.47/-97.5</vt:lpwstr>
      </vt:variant>
      <vt:variant>
        <vt:i4>7405624</vt:i4>
      </vt:variant>
      <vt:variant>
        <vt:i4>0</vt:i4>
      </vt:variant>
      <vt:variant>
        <vt:i4>0</vt:i4>
      </vt:variant>
      <vt:variant>
        <vt:i4>5</vt:i4>
      </vt:variant>
      <vt:variant>
        <vt:lpwstr>https://energyjustice.egs.anl.gov/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Mervenne, Chelsea</dc:creator>
  <cp:keywords/>
  <dc:description/>
  <cp:lastModifiedBy>Klusmeier, Amy</cp:lastModifiedBy>
  <cp:revision>14</cp:revision>
  <dcterms:created xsi:type="dcterms:W3CDTF">2022-10-06T19:07:00Z</dcterms:created>
  <dcterms:modified xsi:type="dcterms:W3CDTF">2022-10-06T22:02:00Z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0x0101000C131676AC9F4E42A636168993B19896</vt:lpwstr>
  </property>
</Properties>
</file>