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4823" w14:textId="77777777" w:rsidR="006E5537" w:rsidRDefault="006E5537" w:rsidP="006E5537">
      <w:pPr>
        <w:autoSpaceDE w:val="0"/>
        <w:autoSpaceDN w:val="0"/>
      </w:pPr>
      <w:r>
        <w:rPr>
          <w:rFonts w:ascii="TimesNewRomanPS-BoldMT" w:hAnsi="TimesNewRomanPS-BoldMT"/>
          <w:b/>
          <w:bCs/>
        </w:rPr>
        <w:t>Weatherization Readiness Fund (WRF)</w:t>
      </w:r>
    </w:p>
    <w:p w14:paraId="49A70C2E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WRF will be used to prevent deferral of units when the work needed before a home can receive services is beyond the scope of weatherization. This falls one or</w:t>
      </w:r>
    </w:p>
    <w:p w14:paraId="288B13A9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more of four categories:</w:t>
      </w:r>
    </w:p>
    <w:p w14:paraId="7A7DFF2D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Health and Safety measures that exceed the threshold</w:t>
      </w:r>
    </w:p>
    <w:p w14:paraId="4EB357CF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Health and Safety measures that are not eligible costs under current guidance</w:t>
      </w:r>
    </w:p>
    <w:p w14:paraId="513C80C8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Incidental Repairs that if included in the SIR calculations, would cause a unit to not be cost effective</w:t>
      </w:r>
    </w:p>
    <w:p w14:paraId="192557AB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Repairs not previously listed as incidental repair because of high cost or other reasons</w:t>
      </w:r>
    </w:p>
    <w:p w14:paraId="48A0FAE3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Distribution of Funds</w:t>
      </w:r>
    </w:p>
    <w:p w14:paraId="62C5A00B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Funds will be distributed to each agency using the same agency ratios as program funding. The agencies will prioritize deferred households using our ranking</w:t>
      </w:r>
    </w:p>
    <w:p w14:paraId="5299AE12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system described in Section V.3 of the Master File for each county. Homes that have been previously deferred and currently meet eligibility requirements, will</w:t>
      </w:r>
    </w:p>
    <w:p w14:paraId="6CB7CDD7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receive WRF services before other homes in the same county.</w:t>
      </w:r>
    </w:p>
    <w:p w14:paraId="6260A11F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Restrictions</w:t>
      </w:r>
    </w:p>
    <w:p w14:paraId="30121162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The following restrictions will apply to the use of WRF funding:</w:t>
      </w:r>
    </w:p>
    <w:p w14:paraId="40319E64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All units must receive approval from MFA prior to commencement of work</w:t>
      </w:r>
    </w:p>
    <w:p w14:paraId="4A96283C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Must only be used for homes that will receive full weatherization with the 20222023</w:t>
      </w:r>
    </w:p>
    <w:p w14:paraId="7D9271B1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DOE grant.</w:t>
      </w:r>
    </w:p>
    <w:p w14:paraId="762082B7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Roof replacements will not be allowed with this funding</w:t>
      </w:r>
    </w:p>
    <w:p w14:paraId="5843AA94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Monitoring</w:t>
      </w:r>
    </w:p>
    <w:p w14:paraId="36F3D299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MFA will monitor the use of this funding in accordance with the regular monitoring routine. This includes desk monitoring before an invoice is paid, and QCI when</w:t>
      </w:r>
    </w:p>
    <w:p w14:paraId="42E30176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a unit is selected for inspection. Agencies will include the weatherization readiness scope of work in their final QCI inspection.</w:t>
      </w:r>
    </w:p>
    <w:p w14:paraId="19BBE975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Maximum ACPU</w:t>
      </w:r>
    </w:p>
    <w:p w14:paraId="58F7DBF5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Agencies must keep the ACPU for this category at or below $19,000. This is kept separate from the weatherization and H&amp;S ACPUs.</w:t>
      </w:r>
    </w:p>
    <w:p w14:paraId="37BE3785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Tracking and Reporting</w:t>
      </w:r>
    </w:p>
    <w:p w14:paraId="1764CA47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The following items are currently tracked and will continue to be tracked:</w:t>
      </w:r>
    </w:p>
    <w:p w14:paraId="10B0BAEC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Location</w:t>
      </w:r>
    </w:p>
    <w:p w14:paraId="66FF9AE4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Client Ranking</w:t>
      </w:r>
    </w:p>
    <w:p w14:paraId="76E60EA4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House type</w:t>
      </w:r>
    </w:p>
    <w:p w14:paraId="72CCA668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Year built</w:t>
      </w:r>
    </w:p>
    <w:p w14:paraId="3018D54D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Specific nature of repairs</w:t>
      </w:r>
    </w:p>
    <w:p w14:paraId="43BBA5A4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Per unit average</w:t>
      </w:r>
    </w:p>
    <w:p w14:paraId="10CE6709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proofErr w:type="gramStart"/>
      <w:r>
        <w:rPr>
          <w:rFonts w:ascii="TimesNewRomanPSMT" w:hAnsi="TimesNewRomanPSMT"/>
        </w:rPr>
        <w:t>Other</w:t>
      </w:r>
      <w:proofErr w:type="gramEnd"/>
      <w:r>
        <w:rPr>
          <w:rFonts w:ascii="TimesNewRomanPSMT" w:hAnsi="TimesNewRomanPSMT"/>
        </w:rPr>
        <w:t xml:space="preserve"> funds used</w:t>
      </w:r>
    </w:p>
    <w:p w14:paraId="595391AB" w14:textId="77777777" w:rsidR="006E5537" w:rsidRDefault="006E5537" w:rsidP="006E5537">
      <w:pPr>
        <w:autoSpaceDE w:val="0"/>
        <w:autoSpaceDN w:val="0"/>
      </w:pPr>
      <w:r>
        <w:rPr>
          <w:rFonts w:ascii="TimesNewRomanPS-BoldMT" w:hAnsi="TimesNewRomanPS-BoldMT"/>
          <w:b/>
          <w:bCs/>
        </w:rPr>
        <w:t>Process</w:t>
      </w:r>
    </w:p>
    <w:p w14:paraId="76083F4F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Homes that have been previously deferred that are still eligible will be the first to receive services. For all other WRF needs, the agencies must follow the</w:t>
      </w:r>
    </w:p>
    <w:p w14:paraId="3571B302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same priority and ranking used for weatherization.</w:t>
      </w:r>
    </w:p>
    <w:p w14:paraId="65ED3090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 xml:space="preserve">When it is identified by the agency that a home </w:t>
      </w:r>
      <w:proofErr w:type="gramStart"/>
      <w:r>
        <w:rPr>
          <w:rFonts w:ascii="TimesNewRomanPSMT" w:hAnsi="TimesNewRomanPSMT"/>
        </w:rPr>
        <w:t>is in need of</w:t>
      </w:r>
      <w:proofErr w:type="gramEnd"/>
      <w:r>
        <w:rPr>
          <w:rFonts w:ascii="TimesNewRomanPSMT" w:hAnsi="TimesNewRomanPSMT"/>
        </w:rPr>
        <w:t xml:space="preserve"> WRF, the agency must send MFA's program manager a scope of work, photos, and estimated</w:t>
      </w:r>
    </w:p>
    <w:p w14:paraId="576CE02C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costs of the unit.</w:t>
      </w:r>
    </w:p>
    <w:p w14:paraId="06E0EC5A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 xml:space="preserve">If request is reasonable, MFA issues an </w:t>
      </w:r>
      <w:proofErr w:type="gramStart"/>
      <w:r>
        <w:rPr>
          <w:rFonts w:ascii="TimesNewRomanPSMT" w:hAnsi="TimesNewRomanPSMT"/>
        </w:rPr>
        <w:t>approval</w:t>
      </w:r>
      <w:proofErr w:type="gramEnd"/>
      <w:r>
        <w:rPr>
          <w:rFonts w:ascii="TimesNewRomanPSMT" w:hAnsi="TimesNewRomanPSMT"/>
        </w:rPr>
        <w:t xml:space="preserve"> and the agency schedules the work.</w:t>
      </w:r>
    </w:p>
    <w:p w14:paraId="7DD7EF8A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All state and local codes must be followed with required permits pulled, and final code enforcement inspections must be scheduled.</w:t>
      </w:r>
    </w:p>
    <w:p w14:paraId="600D7FD6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Weatherization work is expected to occur as close to completion of WRF work as possible.</w:t>
      </w:r>
    </w:p>
    <w:p w14:paraId="00EE1494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Final QCI for the weatherization work includes final inspection of the WFR work. If deficiencies are present, a punch list for the contractor is generated and</w:t>
      </w:r>
    </w:p>
    <w:p w14:paraId="48983174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the contracting party does not receive final payment until the work is satisfactory.</w:t>
      </w:r>
    </w:p>
    <w:p w14:paraId="11AE181F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lastRenderedPageBreak/>
        <w:t xml:space="preserve">¡ </w:t>
      </w:r>
      <w:r>
        <w:rPr>
          <w:rFonts w:ascii="TimesNewRomanPSMT" w:hAnsi="TimesNewRomanPSMT"/>
        </w:rPr>
        <w:t>Both the client and final inspector must sign off on the scope of work for both WRF and weatherization (two signatures are required).</w:t>
      </w:r>
    </w:p>
    <w:p w14:paraId="5EE00832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Completed units are reported to MFA during invoicing. WRF will be treated as a separate billing category in the agency's invoice.</w:t>
      </w:r>
    </w:p>
    <w:p w14:paraId="53A74313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Units that received WRF are tracked separate with their own ACPU</w:t>
      </w:r>
    </w:p>
    <w:p w14:paraId="52C512BB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MFA will include a sample of units that received WRF as part of the minimum 5% QCI.</w:t>
      </w:r>
    </w:p>
    <w:p w14:paraId="6D6C802C" w14:textId="77777777" w:rsidR="006E5537" w:rsidRDefault="006E5537" w:rsidP="006E5537">
      <w:pPr>
        <w:autoSpaceDE w:val="0"/>
        <w:autoSpaceDN w:val="0"/>
      </w:pPr>
      <w:r>
        <w:rPr>
          <w:rFonts w:ascii="Wingdings-Regular" w:hAnsi="Wingdings-Regular"/>
        </w:rPr>
        <w:t xml:space="preserve">l </w:t>
      </w:r>
      <w:r>
        <w:rPr>
          <w:rFonts w:ascii="TimesNewRomanPSMT" w:hAnsi="TimesNewRomanPSMT"/>
        </w:rPr>
        <w:t>Units that need work that is beyond what WRF, other funding sources, and weatherization can provide will be deferred following the regular deferral policy</w:t>
      </w:r>
    </w:p>
    <w:p w14:paraId="767E1BEE" w14:textId="77777777" w:rsidR="006E5537" w:rsidRDefault="006E5537" w:rsidP="006E5537">
      <w:pPr>
        <w:autoSpaceDE w:val="0"/>
        <w:autoSpaceDN w:val="0"/>
      </w:pPr>
      <w:r>
        <w:rPr>
          <w:rFonts w:ascii="TimesNewRomanPSMT" w:hAnsi="TimesNewRomanPSMT"/>
        </w:rPr>
        <w:t>(Section V.1.2 Master File) and tracked.</w:t>
      </w:r>
    </w:p>
    <w:p w14:paraId="5F0274B7" w14:textId="77777777" w:rsidR="006E5537" w:rsidRDefault="006E5537" w:rsidP="006E5537">
      <w:r>
        <w:t> </w:t>
      </w:r>
    </w:p>
    <w:p w14:paraId="58B6334B" w14:textId="77777777" w:rsidR="00E90FD8" w:rsidRDefault="00E90FD8"/>
    <w:sectPr w:rsidR="00E9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Wingdings-Regular">
    <w:altName w:val="Wingding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37"/>
    <w:rsid w:val="006E5537"/>
    <w:rsid w:val="00E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EA51"/>
  <w15:chartTrackingRefBased/>
  <w15:docId w15:val="{8A4C0310-8C43-446A-94F6-824784FC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5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Ballew</dc:creator>
  <cp:keywords/>
  <dc:description/>
  <cp:lastModifiedBy>Jonathan Ballew</cp:lastModifiedBy>
  <cp:revision>1</cp:revision>
  <dcterms:created xsi:type="dcterms:W3CDTF">2022-06-27T18:30:00Z</dcterms:created>
  <dcterms:modified xsi:type="dcterms:W3CDTF">2022-06-27T18:31:00Z</dcterms:modified>
</cp:coreProperties>
</file>