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EBE5" w14:textId="0BD3BE25" w:rsidR="0093174A" w:rsidRDefault="0093174A" w:rsidP="007008EF">
      <w:pPr>
        <w:shd w:val="clear" w:color="auto" w:fill="F5F5F5"/>
        <w:spacing w:before="100" w:beforeAutospacing="1" w:after="100" w:afterAutospacing="1"/>
        <w:rPr>
          <w:b/>
          <w:bCs/>
          <w:color w:val="000000"/>
        </w:rPr>
      </w:pPr>
      <w:r>
        <w:rPr>
          <w:b/>
          <w:bCs/>
          <w:color w:val="000000"/>
        </w:rPr>
        <w:t>WX WR At-a-Glance</w:t>
      </w:r>
    </w:p>
    <w:tbl>
      <w:tblPr>
        <w:tblStyle w:val="TableGrid"/>
        <w:tblW w:w="0" w:type="auto"/>
        <w:tblLook w:val="04A0" w:firstRow="1" w:lastRow="0" w:firstColumn="1" w:lastColumn="0" w:noHBand="0" w:noVBand="1"/>
      </w:tblPr>
      <w:tblGrid>
        <w:gridCol w:w="2721"/>
        <w:gridCol w:w="6629"/>
      </w:tblGrid>
      <w:tr w:rsidR="0093174A" w14:paraId="6A851B52" w14:textId="77777777" w:rsidTr="00CB3897">
        <w:tc>
          <w:tcPr>
            <w:tcW w:w="4675" w:type="dxa"/>
          </w:tcPr>
          <w:p w14:paraId="71AD3127" w14:textId="25271A9A" w:rsidR="0093174A" w:rsidRDefault="00F04577" w:rsidP="007008EF">
            <w:pPr>
              <w:spacing w:before="100" w:beforeAutospacing="1" w:after="100" w:afterAutospacing="1"/>
              <w:rPr>
                <w:b/>
                <w:bCs/>
                <w:color w:val="000000"/>
              </w:rPr>
            </w:pPr>
            <w:r>
              <w:rPr>
                <w:b/>
                <w:bCs/>
                <w:color w:val="000000"/>
              </w:rPr>
              <w:t>Description</w:t>
            </w:r>
          </w:p>
        </w:tc>
        <w:tc>
          <w:tcPr>
            <w:tcW w:w="11250" w:type="dxa"/>
          </w:tcPr>
          <w:p w14:paraId="28CE5EAC" w14:textId="2D9C60EA" w:rsidR="00F04577" w:rsidRPr="00F04577" w:rsidRDefault="00F04577" w:rsidP="00C845D0">
            <w:pPr>
              <w:shd w:val="clear" w:color="auto" w:fill="F5F5F5"/>
              <w:spacing w:before="100" w:beforeAutospacing="1" w:after="100" w:afterAutospacing="1"/>
              <w:ind w:left="50" w:right="150"/>
              <w:rPr>
                <w:rFonts w:ascii="Verdana" w:eastAsia="Times New Roman" w:hAnsi="Verdana" w:cs="Times New Roman"/>
                <w:color w:val="000000"/>
                <w:sz w:val="19"/>
                <w:szCs w:val="19"/>
              </w:rPr>
            </w:pPr>
            <w:r w:rsidRPr="00F04577">
              <w:rPr>
                <w:rFonts w:ascii="Arial" w:eastAsia="Times New Roman" w:hAnsi="Arial" w:cs="Arial"/>
                <w:color w:val="000000"/>
                <w:sz w:val="20"/>
                <w:szCs w:val="20"/>
              </w:rPr>
              <w:t xml:space="preserve">Kentucky Housing Corporation has been administering a weatherization ready program funded through LIHEAP for a couple of years. Examples of repairs included in the current program are structural, plumbing, electrical, and roofing issues, pest infestation, or other issues KHC deems appropriate. Structural/roofing issues may be repairs in roof leaks to protect weatherization measures, minor mold remediation, repair of holes in walls, and other minor repairs to protect installed weatherization measures. The Weatherization Ready program will implement a cap of the established DOE average cost per unit (ACPU) as a cap for the weatherization ready job. Weatherization Ready job should result in weatherization job completions. </w:t>
            </w:r>
            <w:r w:rsidR="008C27F2">
              <w:rPr>
                <w:rFonts w:ascii="Arial" w:eastAsia="Times New Roman" w:hAnsi="Arial" w:cs="Arial"/>
                <w:color w:val="000000"/>
                <w:sz w:val="20"/>
                <w:szCs w:val="20"/>
              </w:rPr>
              <w:t>KHC and all subgrantees will follow WPN 22-6.</w:t>
            </w:r>
          </w:p>
          <w:p w14:paraId="1C43A7B2" w14:textId="77777777" w:rsidR="0093174A" w:rsidRDefault="0093174A" w:rsidP="00F04577">
            <w:pPr>
              <w:spacing w:before="100" w:beforeAutospacing="1" w:after="100" w:afterAutospacing="1"/>
              <w:ind w:right="-6680"/>
              <w:rPr>
                <w:b/>
                <w:bCs/>
                <w:color w:val="000000"/>
              </w:rPr>
            </w:pPr>
          </w:p>
        </w:tc>
      </w:tr>
      <w:tr w:rsidR="0093174A" w14:paraId="028A3F1B" w14:textId="77777777" w:rsidTr="00CB3897">
        <w:tc>
          <w:tcPr>
            <w:tcW w:w="4675" w:type="dxa"/>
          </w:tcPr>
          <w:p w14:paraId="0F7619D2" w14:textId="4B4F5E9C" w:rsidR="0093174A" w:rsidRDefault="0093174A" w:rsidP="007008EF">
            <w:pPr>
              <w:spacing w:before="100" w:beforeAutospacing="1" w:after="100" w:afterAutospacing="1"/>
              <w:rPr>
                <w:b/>
                <w:bCs/>
                <w:color w:val="000000"/>
              </w:rPr>
            </w:pPr>
            <w:r>
              <w:rPr>
                <w:b/>
                <w:bCs/>
                <w:color w:val="000000"/>
              </w:rPr>
              <w:t>Average Cost Per Unit Cap</w:t>
            </w:r>
          </w:p>
        </w:tc>
        <w:tc>
          <w:tcPr>
            <w:tcW w:w="11250" w:type="dxa"/>
          </w:tcPr>
          <w:p w14:paraId="0A6DA76A" w14:textId="77777777" w:rsidR="0093174A" w:rsidRDefault="00CB3897" w:rsidP="007008EF">
            <w:pPr>
              <w:spacing w:before="100" w:beforeAutospacing="1" w:after="100" w:afterAutospacing="1"/>
              <w:rPr>
                <w:color w:val="000000"/>
              </w:rPr>
            </w:pPr>
            <w:r w:rsidRPr="00CB3897">
              <w:rPr>
                <w:color w:val="000000"/>
              </w:rPr>
              <w:t>Cap per Unit for DOE funding is $8,009</w:t>
            </w:r>
            <w:r w:rsidR="008C27F2">
              <w:rPr>
                <w:color w:val="000000"/>
              </w:rPr>
              <w:t xml:space="preserve"> for the following repairs that cannot otherwise be addressed by normal/regular weatherization activities</w:t>
            </w:r>
            <w:r w:rsidRPr="00CB3897">
              <w:rPr>
                <w:color w:val="000000"/>
              </w:rPr>
              <w:t>.</w:t>
            </w:r>
          </w:p>
          <w:p w14:paraId="40C93886" w14:textId="6E248776" w:rsidR="008C27F2" w:rsidRPr="00CB3897" w:rsidRDefault="008C27F2" w:rsidP="007008EF">
            <w:pPr>
              <w:spacing w:before="100" w:beforeAutospacing="1" w:after="100" w:afterAutospacing="1"/>
              <w:rPr>
                <w:color w:val="000000"/>
              </w:rPr>
            </w:pPr>
          </w:p>
        </w:tc>
      </w:tr>
      <w:tr w:rsidR="0093174A" w14:paraId="7F14971D" w14:textId="77777777" w:rsidTr="00CB3897">
        <w:tc>
          <w:tcPr>
            <w:tcW w:w="4675" w:type="dxa"/>
          </w:tcPr>
          <w:p w14:paraId="0CA39ACC" w14:textId="480D96B2" w:rsidR="00F04577" w:rsidRDefault="00F04577" w:rsidP="007008EF">
            <w:pPr>
              <w:spacing w:before="100" w:beforeAutospacing="1" w:after="100" w:afterAutospacing="1"/>
              <w:rPr>
                <w:b/>
                <w:bCs/>
                <w:color w:val="000000"/>
              </w:rPr>
            </w:pPr>
            <w:r>
              <w:rPr>
                <w:b/>
                <w:bCs/>
                <w:color w:val="000000"/>
              </w:rPr>
              <w:t>Measures Covered</w:t>
            </w:r>
          </w:p>
        </w:tc>
        <w:tc>
          <w:tcPr>
            <w:tcW w:w="11250" w:type="dxa"/>
          </w:tcPr>
          <w:p w14:paraId="389BBF85" w14:textId="54322AA7" w:rsidR="0093174A" w:rsidRDefault="006E5188" w:rsidP="006E5188">
            <w:pPr>
              <w:pStyle w:val="ListParagraph"/>
              <w:numPr>
                <w:ilvl w:val="0"/>
                <w:numId w:val="9"/>
              </w:numPr>
              <w:spacing w:before="100" w:beforeAutospacing="1" w:after="100" w:afterAutospacing="1"/>
              <w:rPr>
                <w:color w:val="000000"/>
              </w:rPr>
            </w:pPr>
            <w:r>
              <w:rPr>
                <w:color w:val="000000"/>
              </w:rPr>
              <w:t>Mold Remediation</w:t>
            </w:r>
          </w:p>
          <w:p w14:paraId="196C6AE3" w14:textId="77777777" w:rsidR="006E5188" w:rsidRDefault="006E5188" w:rsidP="006E5188">
            <w:pPr>
              <w:pStyle w:val="ListParagraph"/>
              <w:numPr>
                <w:ilvl w:val="0"/>
                <w:numId w:val="9"/>
              </w:numPr>
              <w:spacing w:before="100" w:beforeAutospacing="1" w:after="100" w:afterAutospacing="1"/>
              <w:rPr>
                <w:color w:val="000000"/>
              </w:rPr>
            </w:pPr>
            <w:r>
              <w:rPr>
                <w:color w:val="000000"/>
              </w:rPr>
              <w:t>Pest Infestation</w:t>
            </w:r>
          </w:p>
          <w:p w14:paraId="6E4E2514" w14:textId="2FAEFB67" w:rsidR="006E5188" w:rsidRDefault="006E5188" w:rsidP="006E5188">
            <w:pPr>
              <w:pStyle w:val="ListParagraph"/>
              <w:numPr>
                <w:ilvl w:val="0"/>
                <w:numId w:val="9"/>
              </w:numPr>
              <w:spacing w:before="100" w:beforeAutospacing="1" w:after="100" w:afterAutospacing="1"/>
              <w:rPr>
                <w:color w:val="000000"/>
              </w:rPr>
            </w:pPr>
            <w:r>
              <w:rPr>
                <w:color w:val="000000"/>
              </w:rPr>
              <w:t>Roof Repair/Replacement</w:t>
            </w:r>
          </w:p>
          <w:p w14:paraId="67DB22C1" w14:textId="77777777" w:rsidR="006E5188" w:rsidRDefault="006E5188" w:rsidP="006E5188">
            <w:pPr>
              <w:pStyle w:val="ListParagraph"/>
              <w:numPr>
                <w:ilvl w:val="0"/>
                <w:numId w:val="9"/>
              </w:numPr>
              <w:spacing w:before="100" w:beforeAutospacing="1" w:after="100" w:afterAutospacing="1"/>
              <w:rPr>
                <w:color w:val="000000"/>
              </w:rPr>
            </w:pPr>
            <w:r>
              <w:rPr>
                <w:color w:val="000000"/>
              </w:rPr>
              <w:t>Asbestos Remediation</w:t>
            </w:r>
          </w:p>
          <w:p w14:paraId="09B19A1C" w14:textId="52581DE5" w:rsidR="006E5188" w:rsidRDefault="006E5188" w:rsidP="006E5188">
            <w:pPr>
              <w:pStyle w:val="ListParagraph"/>
              <w:numPr>
                <w:ilvl w:val="0"/>
                <w:numId w:val="9"/>
              </w:numPr>
              <w:spacing w:before="100" w:beforeAutospacing="1" w:after="100" w:afterAutospacing="1"/>
              <w:rPr>
                <w:color w:val="000000"/>
              </w:rPr>
            </w:pPr>
            <w:r>
              <w:rPr>
                <w:color w:val="000000"/>
              </w:rPr>
              <w:t>Structure Repair</w:t>
            </w:r>
          </w:p>
          <w:p w14:paraId="197FB934" w14:textId="089B95F3" w:rsidR="00474AE4" w:rsidRDefault="00474AE4" w:rsidP="006E5188">
            <w:pPr>
              <w:pStyle w:val="ListParagraph"/>
              <w:numPr>
                <w:ilvl w:val="0"/>
                <w:numId w:val="9"/>
              </w:numPr>
              <w:spacing w:before="100" w:beforeAutospacing="1" w:after="100" w:afterAutospacing="1"/>
              <w:rPr>
                <w:color w:val="000000"/>
              </w:rPr>
            </w:pPr>
            <w:r>
              <w:rPr>
                <w:color w:val="000000"/>
              </w:rPr>
              <w:t>Wall Repair (interior and exterior)</w:t>
            </w:r>
          </w:p>
          <w:p w14:paraId="53D43024" w14:textId="68A36C35" w:rsidR="00474AE4" w:rsidRDefault="00474AE4" w:rsidP="006E5188">
            <w:pPr>
              <w:pStyle w:val="ListParagraph"/>
              <w:numPr>
                <w:ilvl w:val="0"/>
                <w:numId w:val="9"/>
              </w:numPr>
              <w:spacing w:before="100" w:beforeAutospacing="1" w:after="100" w:afterAutospacing="1"/>
              <w:rPr>
                <w:color w:val="000000"/>
              </w:rPr>
            </w:pPr>
            <w:r>
              <w:rPr>
                <w:color w:val="000000"/>
              </w:rPr>
              <w:t>Ceiling Repair</w:t>
            </w:r>
          </w:p>
          <w:p w14:paraId="607B1F85" w14:textId="49D3F982" w:rsidR="00474AE4" w:rsidRDefault="00474AE4" w:rsidP="006E5188">
            <w:pPr>
              <w:pStyle w:val="ListParagraph"/>
              <w:numPr>
                <w:ilvl w:val="0"/>
                <w:numId w:val="9"/>
              </w:numPr>
              <w:spacing w:before="100" w:beforeAutospacing="1" w:after="100" w:afterAutospacing="1"/>
              <w:rPr>
                <w:color w:val="000000"/>
              </w:rPr>
            </w:pPr>
            <w:r>
              <w:rPr>
                <w:color w:val="000000"/>
              </w:rPr>
              <w:t>Floor repair</w:t>
            </w:r>
          </w:p>
          <w:p w14:paraId="6417DE25" w14:textId="787A3B66" w:rsidR="00474AE4" w:rsidRDefault="00474AE4" w:rsidP="006E5188">
            <w:pPr>
              <w:pStyle w:val="ListParagraph"/>
              <w:numPr>
                <w:ilvl w:val="0"/>
                <w:numId w:val="9"/>
              </w:numPr>
              <w:spacing w:before="100" w:beforeAutospacing="1" w:after="100" w:afterAutospacing="1"/>
              <w:rPr>
                <w:color w:val="000000"/>
              </w:rPr>
            </w:pPr>
            <w:r>
              <w:rPr>
                <w:color w:val="000000"/>
              </w:rPr>
              <w:t>Plumbing repair (including sewer/septic repair)</w:t>
            </w:r>
          </w:p>
          <w:p w14:paraId="4F38235D" w14:textId="4A6D8CD0" w:rsidR="00474AE4" w:rsidRDefault="00474AE4" w:rsidP="006E5188">
            <w:pPr>
              <w:pStyle w:val="ListParagraph"/>
              <w:numPr>
                <w:ilvl w:val="0"/>
                <w:numId w:val="9"/>
              </w:numPr>
              <w:spacing w:before="100" w:beforeAutospacing="1" w:after="100" w:afterAutospacing="1"/>
              <w:rPr>
                <w:color w:val="000000"/>
              </w:rPr>
            </w:pPr>
            <w:r>
              <w:rPr>
                <w:color w:val="000000"/>
              </w:rPr>
              <w:t>Exterior drainage repairs (</w:t>
            </w:r>
            <w:proofErr w:type="gramStart"/>
            <w:r>
              <w:rPr>
                <w:color w:val="000000"/>
              </w:rPr>
              <w:t>e.g.</w:t>
            </w:r>
            <w:proofErr w:type="gramEnd"/>
            <w:r>
              <w:rPr>
                <w:color w:val="000000"/>
              </w:rPr>
              <w:t xml:space="preserve"> landscaping or gutters)</w:t>
            </w:r>
          </w:p>
          <w:p w14:paraId="6D2FD914" w14:textId="77777777" w:rsidR="006E5188" w:rsidRDefault="006E5188" w:rsidP="006E5188">
            <w:pPr>
              <w:pStyle w:val="ListParagraph"/>
              <w:numPr>
                <w:ilvl w:val="0"/>
                <w:numId w:val="9"/>
              </w:numPr>
              <w:spacing w:before="100" w:beforeAutospacing="1" w:after="100" w:afterAutospacing="1"/>
              <w:rPr>
                <w:color w:val="000000"/>
              </w:rPr>
            </w:pPr>
            <w:r>
              <w:rPr>
                <w:color w:val="000000"/>
              </w:rPr>
              <w:t>Bulk Moisture Control</w:t>
            </w:r>
          </w:p>
          <w:p w14:paraId="38C7BF5D" w14:textId="0A1724FF" w:rsidR="006E5188" w:rsidRDefault="006E5188" w:rsidP="006E5188">
            <w:pPr>
              <w:pStyle w:val="ListParagraph"/>
              <w:numPr>
                <w:ilvl w:val="0"/>
                <w:numId w:val="9"/>
              </w:numPr>
              <w:spacing w:before="100" w:beforeAutospacing="1" w:after="100" w:afterAutospacing="1"/>
              <w:rPr>
                <w:color w:val="000000"/>
              </w:rPr>
            </w:pPr>
            <w:r>
              <w:rPr>
                <w:color w:val="000000"/>
              </w:rPr>
              <w:t>Electrical Upgrade</w:t>
            </w:r>
            <w:r w:rsidR="00474AE4">
              <w:rPr>
                <w:color w:val="000000"/>
              </w:rPr>
              <w:t xml:space="preserve"> or Repair</w:t>
            </w:r>
          </w:p>
          <w:p w14:paraId="7D07F229" w14:textId="77777777" w:rsidR="006E5188" w:rsidRDefault="006E5188" w:rsidP="006E5188">
            <w:pPr>
              <w:pStyle w:val="ListParagraph"/>
              <w:numPr>
                <w:ilvl w:val="0"/>
                <w:numId w:val="9"/>
              </w:numPr>
              <w:spacing w:before="100" w:beforeAutospacing="1" w:after="100" w:afterAutospacing="1"/>
              <w:rPr>
                <w:color w:val="000000"/>
              </w:rPr>
            </w:pPr>
            <w:r>
              <w:rPr>
                <w:color w:val="000000"/>
              </w:rPr>
              <w:t>Insulation Preparation</w:t>
            </w:r>
          </w:p>
          <w:p w14:paraId="7157E615" w14:textId="77777777" w:rsidR="006E5188" w:rsidRDefault="006E5188" w:rsidP="006E5188">
            <w:pPr>
              <w:pStyle w:val="ListParagraph"/>
              <w:numPr>
                <w:ilvl w:val="0"/>
                <w:numId w:val="9"/>
              </w:numPr>
              <w:spacing w:before="100" w:beforeAutospacing="1" w:after="100" w:afterAutospacing="1"/>
              <w:rPr>
                <w:color w:val="000000"/>
              </w:rPr>
            </w:pPr>
            <w:r>
              <w:rPr>
                <w:color w:val="000000"/>
              </w:rPr>
              <w:t>Infiltration Reduction</w:t>
            </w:r>
          </w:p>
          <w:p w14:paraId="7639EF32" w14:textId="77777777" w:rsidR="006E5188" w:rsidRDefault="006E5188" w:rsidP="006E5188">
            <w:pPr>
              <w:pStyle w:val="ListParagraph"/>
              <w:numPr>
                <w:ilvl w:val="0"/>
                <w:numId w:val="9"/>
              </w:numPr>
              <w:spacing w:before="100" w:beforeAutospacing="1" w:after="100" w:afterAutospacing="1"/>
              <w:rPr>
                <w:color w:val="000000"/>
              </w:rPr>
            </w:pPr>
            <w:r>
              <w:rPr>
                <w:color w:val="000000"/>
              </w:rPr>
              <w:t>Leak Repair</w:t>
            </w:r>
          </w:p>
          <w:p w14:paraId="7B76291F" w14:textId="05145BE0" w:rsidR="006E5188" w:rsidRPr="006E5188" w:rsidRDefault="006E5188" w:rsidP="006E5188">
            <w:pPr>
              <w:pStyle w:val="ListParagraph"/>
              <w:numPr>
                <w:ilvl w:val="0"/>
                <w:numId w:val="9"/>
              </w:numPr>
              <w:spacing w:before="100" w:beforeAutospacing="1" w:after="100" w:afterAutospacing="1"/>
              <w:rPr>
                <w:color w:val="000000"/>
              </w:rPr>
            </w:pPr>
            <w:r>
              <w:rPr>
                <w:color w:val="000000"/>
              </w:rPr>
              <w:t>Other (as needed to correct deferrals – must be approved by KHC)</w:t>
            </w:r>
          </w:p>
        </w:tc>
      </w:tr>
      <w:tr w:rsidR="0093174A" w14:paraId="22029C1D" w14:textId="77777777" w:rsidTr="00CB3897">
        <w:tc>
          <w:tcPr>
            <w:tcW w:w="4675" w:type="dxa"/>
          </w:tcPr>
          <w:p w14:paraId="53F6372F" w14:textId="4D112582" w:rsidR="00F04577" w:rsidRDefault="00F04577" w:rsidP="007008EF">
            <w:pPr>
              <w:spacing w:before="100" w:beforeAutospacing="1" w:after="100" w:afterAutospacing="1"/>
              <w:rPr>
                <w:b/>
                <w:bCs/>
                <w:color w:val="000000"/>
              </w:rPr>
            </w:pPr>
            <w:r>
              <w:rPr>
                <w:b/>
                <w:bCs/>
                <w:color w:val="000000"/>
              </w:rPr>
              <w:t>Process</w:t>
            </w:r>
          </w:p>
        </w:tc>
        <w:tc>
          <w:tcPr>
            <w:tcW w:w="11250" w:type="dxa"/>
          </w:tcPr>
          <w:p w14:paraId="58C0AC9C" w14:textId="77777777" w:rsidR="00CB3897" w:rsidRPr="00F04577" w:rsidRDefault="00CB3897" w:rsidP="00CB3897">
            <w:pPr>
              <w:numPr>
                <w:ilvl w:val="0"/>
                <w:numId w:val="8"/>
              </w:numPr>
              <w:shd w:val="clear" w:color="auto" w:fill="F5F5F5"/>
              <w:spacing w:before="100" w:beforeAutospacing="1" w:after="100" w:afterAutospacing="1"/>
              <w:ind w:left="870" w:right="150"/>
              <w:rPr>
                <w:rFonts w:ascii="Verdana" w:eastAsia="Times New Roman" w:hAnsi="Verdana" w:cs="Times New Roman"/>
                <w:color w:val="000000"/>
                <w:sz w:val="19"/>
                <w:szCs w:val="19"/>
              </w:rPr>
            </w:pPr>
            <w:r w:rsidRPr="00F04577">
              <w:rPr>
                <w:rFonts w:ascii="Arial" w:eastAsia="Times New Roman" w:hAnsi="Arial" w:cs="Arial"/>
                <w:color w:val="000000"/>
                <w:sz w:val="20"/>
                <w:szCs w:val="20"/>
              </w:rPr>
              <w:t>Sub-grantee conducts home evaluation and determines that house is not ready for weatherization install.</w:t>
            </w:r>
            <w:r w:rsidRPr="00F04577">
              <w:rPr>
                <w:rFonts w:ascii="Verdana" w:eastAsia="Times New Roman" w:hAnsi="Verdana" w:cs="Times New Roman"/>
                <w:color w:val="000000"/>
                <w:sz w:val="19"/>
                <w:szCs w:val="19"/>
              </w:rPr>
              <w:t xml:space="preserve"> </w:t>
            </w:r>
          </w:p>
          <w:p w14:paraId="72AACA84" w14:textId="77777777" w:rsidR="00CB3897" w:rsidRPr="00F04577" w:rsidRDefault="00CB3897" w:rsidP="00CB3897">
            <w:pPr>
              <w:numPr>
                <w:ilvl w:val="0"/>
                <w:numId w:val="8"/>
              </w:numPr>
              <w:shd w:val="clear" w:color="auto" w:fill="F5F5F5"/>
              <w:spacing w:before="100" w:beforeAutospacing="1" w:after="100" w:afterAutospacing="1"/>
              <w:ind w:left="870" w:right="150"/>
              <w:rPr>
                <w:rFonts w:ascii="Verdana" w:eastAsia="Times New Roman" w:hAnsi="Verdana" w:cs="Times New Roman"/>
                <w:color w:val="000000"/>
                <w:sz w:val="19"/>
                <w:szCs w:val="19"/>
              </w:rPr>
            </w:pPr>
            <w:r w:rsidRPr="00F04577">
              <w:rPr>
                <w:rFonts w:ascii="Arial" w:eastAsia="Times New Roman" w:hAnsi="Arial" w:cs="Arial"/>
                <w:color w:val="000000"/>
                <w:sz w:val="20"/>
                <w:szCs w:val="20"/>
              </w:rPr>
              <w:t>Sub-grantee estimates the repair costs to determine if repairs and costs fall within the guidelines of the repair program.</w:t>
            </w:r>
            <w:r w:rsidRPr="00F04577">
              <w:rPr>
                <w:rFonts w:ascii="Verdana" w:eastAsia="Times New Roman" w:hAnsi="Verdana" w:cs="Times New Roman"/>
                <w:color w:val="000000"/>
                <w:sz w:val="19"/>
                <w:szCs w:val="19"/>
              </w:rPr>
              <w:t xml:space="preserve"> </w:t>
            </w:r>
          </w:p>
          <w:p w14:paraId="1D280EBC" w14:textId="77777777" w:rsidR="00CB3897" w:rsidRPr="00F04577" w:rsidRDefault="00CB3897" w:rsidP="00CB3897">
            <w:pPr>
              <w:numPr>
                <w:ilvl w:val="0"/>
                <w:numId w:val="8"/>
              </w:numPr>
              <w:shd w:val="clear" w:color="auto" w:fill="F5F5F5"/>
              <w:spacing w:before="100" w:beforeAutospacing="1" w:after="100" w:afterAutospacing="1"/>
              <w:ind w:left="870" w:right="150"/>
              <w:rPr>
                <w:rFonts w:ascii="Verdana" w:eastAsia="Times New Roman" w:hAnsi="Verdana" w:cs="Times New Roman"/>
                <w:color w:val="000000"/>
                <w:sz w:val="19"/>
                <w:szCs w:val="19"/>
              </w:rPr>
            </w:pPr>
            <w:r w:rsidRPr="00F04577">
              <w:rPr>
                <w:rFonts w:ascii="Arial" w:eastAsia="Times New Roman" w:hAnsi="Arial" w:cs="Arial"/>
                <w:color w:val="000000"/>
                <w:sz w:val="20"/>
                <w:szCs w:val="20"/>
              </w:rPr>
              <w:t>Sub-grantee prepares approval form (WX-WR) with supporting documentation (</w:t>
            </w:r>
            <w:proofErr w:type="gramStart"/>
            <w:r w:rsidRPr="00F04577">
              <w:rPr>
                <w:rFonts w:ascii="Arial" w:eastAsia="Times New Roman" w:hAnsi="Arial" w:cs="Arial"/>
                <w:color w:val="000000"/>
                <w:sz w:val="20"/>
                <w:szCs w:val="20"/>
              </w:rPr>
              <w:t>i.e.</w:t>
            </w:r>
            <w:proofErr w:type="gramEnd"/>
            <w:r w:rsidRPr="00F04577">
              <w:rPr>
                <w:rFonts w:ascii="Arial" w:eastAsia="Times New Roman" w:hAnsi="Arial" w:cs="Arial"/>
                <w:color w:val="000000"/>
                <w:sz w:val="20"/>
                <w:szCs w:val="20"/>
              </w:rPr>
              <w:t xml:space="preserve"> pictures, estimates, scope of work) via wxadmin@kyhousing.org. Example: If a roof needs to be patched to install insulation, along with repair approval form, sub-grantee should submit photos, estimate with detailed work summary with measurements and materials needed.)</w:t>
            </w:r>
            <w:r w:rsidRPr="00F04577">
              <w:rPr>
                <w:rFonts w:ascii="Verdana" w:eastAsia="Times New Roman" w:hAnsi="Verdana" w:cs="Times New Roman"/>
                <w:color w:val="000000"/>
                <w:sz w:val="19"/>
                <w:szCs w:val="19"/>
              </w:rPr>
              <w:t xml:space="preserve"> </w:t>
            </w:r>
          </w:p>
          <w:p w14:paraId="24CA019D" w14:textId="77777777" w:rsidR="00CB3897" w:rsidRPr="00F04577" w:rsidRDefault="00CB3897" w:rsidP="00CB3897">
            <w:pPr>
              <w:numPr>
                <w:ilvl w:val="0"/>
                <w:numId w:val="8"/>
              </w:numPr>
              <w:shd w:val="clear" w:color="auto" w:fill="F5F5F5"/>
              <w:spacing w:before="100" w:beforeAutospacing="1" w:after="100" w:afterAutospacing="1"/>
              <w:ind w:left="870" w:right="150"/>
              <w:rPr>
                <w:rFonts w:ascii="Verdana" w:eastAsia="Times New Roman" w:hAnsi="Verdana" w:cs="Times New Roman"/>
                <w:color w:val="000000"/>
                <w:sz w:val="19"/>
                <w:szCs w:val="19"/>
              </w:rPr>
            </w:pPr>
            <w:r w:rsidRPr="00F04577">
              <w:rPr>
                <w:rFonts w:ascii="Arial" w:eastAsia="Times New Roman" w:hAnsi="Arial" w:cs="Arial"/>
                <w:color w:val="000000"/>
                <w:sz w:val="20"/>
                <w:szCs w:val="20"/>
              </w:rPr>
              <w:lastRenderedPageBreak/>
              <w:t>KHC reviews, requests more info if needed, and approves/denies requests.</w:t>
            </w:r>
            <w:r w:rsidRPr="00F04577">
              <w:rPr>
                <w:rFonts w:ascii="Verdana" w:eastAsia="Times New Roman" w:hAnsi="Verdana" w:cs="Times New Roman"/>
                <w:color w:val="000000"/>
                <w:sz w:val="19"/>
                <w:szCs w:val="19"/>
              </w:rPr>
              <w:t xml:space="preserve"> </w:t>
            </w:r>
          </w:p>
          <w:p w14:paraId="74ACAA2A" w14:textId="109D2C71" w:rsidR="00CB3897" w:rsidRPr="00F04577" w:rsidRDefault="00CB3897" w:rsidP="00CB3897">
            <w:pPr>
              <w:numPr>
                <w:ilvl w:val="0"/>
                <w:numId w:val="8"/>
              </w:numPr>
              <w:shd w:val="clear" w:color="auto" w:fill="F5F5F5"/>
              <w:spacing w:before="100" w:beforeAutospacing="1" w:after="100" w:afterAutospacing="1"/>
              <w:ind w:left="870" w:right="150"/>
              <w:rPr>
                <w:rFonts w:ascii="Verdana" w:eastAsia="Times New Roman" w:hAnsi="Verdana" w:cs="Times New Roman"/>
                <w:color w:val="000000"/>
                <w:sz w:val="19"/>
                <w:szCs w:val="19"/>
              </w:rPr>
            </w:pPr>
            <w:r w:rsidRPr="00F04577">
              <w:rPr>
                <w:rFonts w:ascii="Arial" w:eastAsia="Times New Roman" w:hAnsi="Arial" w:cs="Arial"/>
                <w:color w:val="000000"/>
                <w:sz w:val="20"/>
                <w:szCs w:val="20"/>
              </w:rPr>
              <w:t>Sub-grantees ensure work is completed prior to weatherization</w:t>
            </w:r>
            <w:r w:rsidR="006E5188">
              <w:rPr>
                <w:rFonts w:ascii="Arial" w:eastAsia="Times New Roman" w:hAnsi="Arial" w:cs="Arial"/>
                <w:color w:val="000000"/>
                <w:sz w:val="20"/>
                <w:szCs w:val="20"/>
              </w:rPr>
              <w:t>. Completed weatherization-ready work will be defined as repairs completed and primer/paint ready.</w:t>
            </w:r>
          </w:p>
          <w:p w14:paraId="1F090E10" w14:textId="77777777" w:rsidR="00CB3897" w:rsidRPr="00F04577" w:rsidRDefault="00CB3897" w:rsidP="00CB3897">
            <w:pPr>
              <w:numPr>
                <w:ilvl w:val="0"/>
                <w:numId w:val="8"/>
              </w:numPr>
              <w:shd w:val="clear" w:color="auto" w:fill="F5F5F5"/>
              <w:spacing w:before="100" w:beforeAutospacing="1" w:after="100" w:afterAutospacing="1"/>
              <w:ind w:left="870" w:right="150"/>
              <w:rPr>
                <w:rFonts w:ascii="Verdana" w:eastAsia="Times New Roman" w:hAnsi="Verdana" w:cs="Times New Roman"/>
                <w:color w:val="000000"/>
                <w:sz w:val="19"/>
                <w:szCs w:val="19"/>
              </w:rPr>
            </w:pPr>
            <w:r w:rsidRPr="00F04577">
              <w:rPr>
                <w:rFonts w:ascii="Arial" w:eastAsia="Times New Roman" w:hAnsi="Arial" w:cs="Arial"/>
                <w:color w:val="000000"/>
                <w:sz w:val="20"/>
                <w:szCs w:val="20"/>
              </w:rPr>
              <w:t xml:space="preserve">Sub-grantees make a separate draw on the repair activity and submit with the rest of the job completion draws or submits the repair activity as an “in progress” job in Hancock software. </w:t>
            </w:r>
          </w:p>
          <w:p w14:paraId="396D3894" w14:textId="77777777" w:rsidR="00CB3897" w:rsidRPr="00F04577" w:rsidRDefault="00CB3897" w:rsidP="00CB3897">
            <w:pPr>
              <w:numPr>
                <w:ilvl w:val="0"/>
                <w:numId w:val="8"/>
              </w:numPr>
              <w:shd w:val="clear" w:color="auto" w:fill="F5F5F5"/>
              <w:spacing w:before="100" w:beforeAutospacing="1" w:after="100" w:afterAutospacing="1"/>
              <w:ind w:left="870" w:right="150"/>
              <w:rPr>
                <w:rFonts w:ascii="Verdana" w:eastAsia="Times New Roman" w:hAnsi="Verdana" w:cs="Times New Roman"/>
                <w:color w:val="000000"/>
                <w:sz w:val="19"/>
                <w:szCs w:val="19"/>
              </w:rPr>
            </w:pPr>
            <w:r w:rsidRPr="00F04577">
              <w:rPr>
                <w:rFonts w:ascii="Arial" w:eastAsia="Times New Roman" w:hAnsi="Arial" w:cs="Arial"/>
                <w:color w:val="000000"/>
                <w:sz w:val="20"/>
                <w:szCs w:val="20"/>
              </w:rPr>
              <w:t xml:space="preserve">KHC will tracks numbers of weatherization ready jobs, types of </w:t>
            </w:r>
            <w:proofErr w:type="gramStart"/>
            <w:r w:rsidRPr="00F04577">
              <w:rPr>
                <w:rFonts w:ascii="Arial" w:eastAsia="Times New Roman" w:hAnsi="Arial" w:cs="Arial"/>
                <w:color w:val="000000"/>
                <w:sz w:val="20"/>
                <w:szCs w:val="20"/>
              </w:rPr>
              <w:t>repair</w:t>
            </w:r>
            <w:proofErr w:type="gramEnd"/>
            <w:r w:rsidRPr="00F04577">
              <w:rPr>
                <w:rFonts w:ascii="Arial" w:eastAsia="Times New Roman" w:hAnsi="Arial" w:cs="Arial"/>
                <w:color w:val="000000"/>
                <w:sz w:val="20"/>
                <w:szCs w:val="20"/>
              </w:rPr>
              <w:t>, and expenditure rates.</w:t>
            </w:r>
            <w:r w:rsidRPr="00F04577">
              <w:rPr>
                <w:rFonts w:ascii="Verdana" w:eastAsia="Times New Roman" w:hAnsi="Verdana" w:cs="Times New Roman"/>
                <w:color w:val="000000"/>
                <w:sz w:val="19"/>
                <w:szCs w:val="19"/>
              </w:rPr>
              <w:t xml:space="preserve"> </w:t>
            </w:r>
          </w:p>
          <w:p w14:paraId="27AFE576" w14:textId="77777777" w:rsidR="0093174A" w:rsidRPr="00CB3897" w:rsidRDefault="0093174A" w:rsidP="007008EF">
            <w:pPr>
              <w:spacing w:before="100" w:beforeAutospacing="1" w:after="100" w:afterAutospacing="1"/>
              <w:rPr>
                <w:color w:val="000000"/>
              </w:rPr>
            </w:pPr>
          </w:p>
        </w:tc>
      </w:tr>
      <w:tr w:rsidR="00474AE4" w14:paraId="7240F884" w14:textId="77777777" w:rsidTr="00CB3897">
        <w:tc>
          <w:tcPr>
            <w:tcW w:w="4675" w:type="dxa"/>
          </w:tcPr>
          <w:p w14:paraId="0D2F201B" w14:textId="6856BB7E" w:rsidR="00474AE4" w:rsidRDefault="00474AE4" w:rsidP="007008EF">
            <w:pPr>
              <w:spacing w:before="100" w:beforeAutospacing="1" w:after="100" w:afterAutospacing="1"/>
              <w:rPr>
                <w:b/>
                <w:bCs/>
                <w:color w:val="000000"/>
              </w:rPr>
            </w:pPr>
            <w:r>
              <w:rPr>
                <w:b/>
                <w:bCs/>
                <w:color w:val="000000"/>
              </w:rPr>
              <w:lastRenderedPageBreak/>
              <w:t>Prioritization</w:t>
            </w:r>
          </w:p>
        </w:tc>
        <w:tc>
          <w:tcPr>
            <w:tcW w:w="11250" w:type="dxa"/>
          </w:tcPr>
          <w:p w14:paraId="2E0719DE" w14:textId="77777777" w:rsidR="00474AE4" w:rsidRDefault="00474AE4" w:rsidP="00474AE4">
            <w:pPr>
              <w:shd w:val="clear" w:color="auto" w:fill="F5F5F5"/>
              <w:spacing w:before="100" w:beforeAutospacing="1" w:after="100" w:afterAutospacing="1"/>
              <w:ind w:right="150"/>
              <w:rPr>
                <w:rFonts w:ascii="Arial" w:eastAsia="Times New Roman" w:hAnsi="Arial" w:cs="Arial"/>
                <w:color w:val="000000"/>
                <w:sz w:val="20"/>
                <w:szCs w:val="20"/>
              </w:rPr>
            </w:pPr>
            <w:r>
              <w:rPr>
                <w:rFonts w:ascii="Arial" w:eastAsia="Times New Roman" w:hAnsi="Arial" w:cs="Arial"/>
                <w:color w:val="000000"/>
                <w:sz w:val="20"/>
                <w:szCs w:val="20"/>
              </w:rPr>
              <w:t>Households that reach the top of the waiting list due to priority points but are deferred due to needed repairs will be reviewed by subgrantee for weatherization ready. Repairs will be submitted to KHC for review (see process section).</w:t>
            </w:r>
          </w:p>
          <w:p w14:paraId="63EF66A0" w14:textId="6F1905F9" w:rsidR="00474AE4" w:rsidRPr="00F04577" w:rsidRDefault="00474AE4" w:rsidP="00474AE4">
            <w:pPr>
              <w:shd w:val="clear" w:color="auto" w:fill="F5F5F5"/>
              <w:spacing w:before="100" w:beforeAutospacing="1" w:after="100" w:afterAutospacing="1"/>
              <w:ind w:right="150"/>
              <w:rPr>
                <w:rFonts w:ascii="Arial" w:eastAsia="Times New Roman" w:hAnsi="Arial" w:cs="Arial"/>
                <w:color w:val="000000"/>
                <w:sz w:val="20"/>
                <w:szCs w:val="20"/>
              </w:rPr>
            </w:pPr>
          </w:p>
        </w:tc>
      </w:tr>
      <w:tr w:rsidR="0093174A" w14:paraId="16BF840C" w14:textId="77777777" w:rsidTr="00CB3897">
        <w:tc>
          <w:tcPr>
            <w:tcW w:w="4675" w:type="dxa"/>
          </w:tcPr>
          <w:p w14:paraId="592BB982" w14:textId="5848F1B0" w:rsidR="0093174A" w:rsidRDefault="00F04577" w:rsidP="007008EF">
            <w:pPr>
              <w:spacing w:before="100" w:beforeAutospacing="1" w:after="100" w:afterAutospacing="1"/>
              <w:rPr>
                <w:b/>
                <w:bCs/>
                <w:color w:val="000000"/>
              </w:rPr>
            </w:pPr>
            <w:r>
              <w:rPr>
                <w:b/>
                <w:bCs/>
                <w:color w:val="000000"/>
              </w:rPr>
              <w:t>Reporting</w:t>
            </w:r>
          </w:p>
        </w:tc>
        <w:tc>
          <w:tcPr>
            <w:tcW w:w="11250" w:type="dxa"/>
          </w:tcPr>
          <w:p w14:paraId="66A3D497" w14:textId="7500D9A8" w:rsidR="00474AE4" w:rsidRDefault="00CB3897" w:rsidP="007008EF">
            <w:pPr>
              <w:spacing w:before="100" w:beforeAutospacing="1" w:after="100" w:afterAutospacing="1"/>
              <w:rPr>
                <w:color w:val="000000"/>
              </w:rPr>
            </w:pPr>
            <w:r w:rsidRPr="00CB3897">
              <w:rPr>
                <w:color w:val="000000"/>
              </w:rPr>
              <w:t>KHC currently uses Hancock for data tracking. All weatherization ready jobs will be kept in deferral status with weatherization ready measures tracked separately from regular weatherization measures. All jobs that go from weatherization ready to weatherization job completions with readiness funding will be tracked for reporting. Normal DOE reporting demographics will be tracked.</w:t>
            </w:r>
          </w:p>
          <w:p w14:paraId="3CAAF08D" w14:textId="7180486E" w:rsidR="00474AE4" w:rsidRDefault="00474AE4" w:rsidP="007008EF">
            <w:pPr>
              <w:spacing w:before="100" w:beforeAutospacing="1" w:after="100" w:afterAutospacing="1"/>
              <w:rPr>
                <w:color w:val="000000"/>
              </w:rPr>
            </w:pPr>
            <w:r>
              <w:rPr>
                <w:color w:val="000000"/>
              </w:rPr>
              <w:t>Demographics Collected:</w:t>
            </w:r>
          </w:p>
          <w:p w14:paraId="6167A86F" w14:textId="6C6D7BFF" w:rsidR="00474AE4" w:rsidRDefault="00474AE4" w:rsidP="00474AE4">
            <w:pPr>
              <w:pStyle w:val="ListParagraph"/>
              <w:numPr>
                <w:ilvl w:val="0"/>
                <w:numId w:val="10"/>
              </w:numPr>
              <w:spacing w:before="100" w:beforeAutospacing="1" w:after="100" w:afterAutospacing="1"/>
              <w:rPr>
                <w:color w:val="000000"/>
              </w:rPr>
            </w:pPr>
            <w:r>
              <w:rPr>
                <w:color w:val="000000"/>
              </w:rPr>
              <w:t>Year Built</w:t>
            </w:r>
          </w:p>
          <w:p w14:paraId="3F3ACE3D" w14:textId="6C3094DC" w:rsidR="00474AE4" w:rsidRDefault="00474AE4" w:rsidP="00474AE4">
            <w:pPr>
              <w:pStyle w:val="ListParagraph"/>
              <w:numPr>
                <w:ilvl w:val="0"/>
                <w:numId w:val="10"/>
              </w:numPr>
              <w:spacing w:before="100" w:beforeAutospacing="1" w:after="100" w:afterAutospacing="1"/>
              <w:rPr>
                <w:color w:val="000000"/>
              </w:rPr>
            </w:pPr>
            <w:r>
              <w:rPr>
                <w:color w:val="000000"/>
              </w:rPr>
              <w:t>Housing Type</w:t>
            </w:r>
          </w:p>
          <w:p w14:paraId="1ECBA4C0" w14:textId="58F8E9A7" w:rsidR="00474AE4" w:rsidRDefault="00474AE4" w:rsidP="00474AE4">
            <w:pPr>
              <w:pStyle w:val="ListParagraph"/>
              <w:numPr>
                <w:ilvl w:val="0"/>
                <w:numId w:val="10"/>
              </w:numPr>
              <w:spacing w:before="100" w:beforeAutospacing="1" w:after="100" w:afterAutospacing="1"/>
              <w:rPr>
                <w:color w:val="000000"/>
              </w:rPr>
            </w:pPr>
            <w:r>
              <w:rPr>
                <w:color w:val="000000"/>
              </w:rPr>
              <w:t>Type of Repair</w:t>
            </w:r>
          </w:p>
          <w:p w14:paraId="6028A340" w14:textId="187DEED2" w:rsidR="00474AE4" w:rsidRDefault="00474AE4" w:rsidP="00474AE4">
            <w:pPr>
              <w:pStyle w:val="ListParagraph"/>
              <w:numPr>
                <w:ilvl w:val="0"/>
                <w:numId w:val="10"/>
              </w:numPr>
              <w:spacing w:before="100" w:beforeAutospacing="1" w:after="100" w:afterAutospacing="1"/>
              <w:rPr>
                <w:color w:val="000000"/>
              </w:rPr>
            </w:pPr>
            <w:r>
              <w:rPr>
                <w:color w:val="000000"/>
              </w:rPr>
              <w:t>Expenditure per unit</w:t>
            </w:r>
          </w:p>
          <w:p w14:paraId="7D789A2C" w14:textId="6E153586" w:rsidR="00474AE4" w:rsidRPr="00CB3897" w:rsidRDefault="00474AE4" w:rsidP="007008EF">
            <w:pPr>
              <w:spacing w:before="100" w:beforeAutospacing="1" w:after="100" w:afterAutospacing="1"/>
              <w:rPr>
                <w:color w:val="000000"/>
              </w:rPr>
            </w:pPr>
          </w:p>
        </w:tc>
      </w:tr>
      <w:tr w:rsidR="0093174A" w14:paraId="714527CC" w14:textId="77777777" w:rsidTr="00CB3897">
        <w:tc>
          <w:tcPr>
            <w:tcW w:w="4675" w:type="dxa"/>
          </w:tcPr>
          <w:p w14:paraId="4C396FCA" w14:textId="64868744" w:rsidR="0093174A" w:rsidRDefault="00F04577" w:rsidP="007008EF">
            <w:pPr>
              <w:spacing w:before="100" w:beforeAutospacing="1" w:after="100" w:afterAutospacing="1"/>
              <w:rPr>
                <w:b/>
                <w:bCs/>
                <w:color w:val="000000"/>
              </w:rPr>
            </w:pPr>
            <w:r>
              <w:rPr>
                <w:b/>
                <w:bCs/>
                <w:color w:val="000000"/>
              </w:rPr>
              <w:t>Braiding</w:t>
            </w:r>
          </w:p>
        </w:tc>
        <w:tc>
          <w:tcPr>
            <w:tcW w:w="11250" w:type="dxa"/>
          </w:tcPr>
          <w:p w14:paraId="57908382" w14:textId="77777777" w:rsidR="00474AE4" w:rsidRDefault="00CB3897" w:rsidP="008C27F2">
            <w:pPr>
              <w:spacing w:before="100" w:beforeAutospacing="1" w:after="100" w:afterAutospacing="1"/>
              <w:rPr>
                <w:color w:val="000000"/>
              </w:rPr>
            </w:pPr>
            <w:r w:rsidRPr="00CB3897">
              <w:rPr>
                <w:color w:val="000000"/>
              </w:rPr>
              <w:t>Braiding with other funding is allowed. Most likely will be either LIHEAP Weatherization or AHTF Home Repair.</w:t>
            </w:r>
            <w:r w:rsidR="008C27F2">
              <w:rPr>
                <w:color w:val="000000"/>
              </w:rPr>
              <w:t xml:space="preserve"> Braiding funds with DOE BIL funding is not allowable. </w:t>
            </w:r>
          </w:p>
          <w:p w14:paraId="52827166" w14:textId="6CCEE0BC" w:rsidR="008C27F2" w:rsidRPr="00CB3897" w:rsidRDefault="008C27F2" w:rsidP="008C27F2">
            <w:pPr>
              <w:spacing w:before="100" w:beforeAutospacing="1" w:after="100" w:afterAutospacing="1"/>
              <w:rPr>
                <w:color w:val="000000"/>
              </w:rPr>
            </w:pPr>
          </w:p>
        </w:tc>
      </w:tr>
      <w:tr w:rsidR="0093174A" w14:paraId="6B84FCEA" w14:textId="77777777" w:rsidTr="00CB3897">
        <w:tc>
          <w:tcPr>
            <w:tcW w:w="4675" w:type="dxa"/>
          </w:tcPr>
          <w:p w14:paraId="0514C3D6" w14:textId="541CC8CF" w:rsidR="0093174A" w:rsidRDefault="00F04577" w:rsidP="007008EF">
            <w:pPr>
              <w:spacing w:before="100" w:beforeAutospacing="1" w:after="100" w:afterAutospacing="1"/>
              <w:rPr>
                <w:b/>
                <w:bCs/>
                <w:color w:val="000000"/>
              </w:rPr>
            </w:pPr>
            <w:r>
              <w:rPr>
                <w:b/>
                <w:bCs/>
                <w:color w:val="000000"/>
              </w:rPr>
              <w:t>Subgrantee Allocation</w:t>
            </w:r>
          </w:p>
        </w:tc>
        <w:tc>
          <w:tcPr>
            <w:tcW w:w="11250" w:type="dxa"/>
          </w:tcPr>
          <w:p w14:paraId="46469A7F" w14:textId="77777777" w:rsidR="0093174A" w:rsidRDefault="00CB3897" w:rsidP="007008EF">
            <w:pPr>
              <w:spacing w:before="100" w:beforeAutospacing="1" w:after="100" w:afterAutospacing="1"/>
              <w:rPr>
                <w:color w:val="000000"/>
              </w:rPr>
            </w:pPr>
            <w:r w:rsidRPr="00CB3897">
              <w:rPr>
                <w:color w:val="000000"/>
              </w:rPr>
              <w:t>Weatherization Ready (DOE) funding will be allocated to subgrantees based on the Kentucky Weatherization funding.</w:t>
            </w:r>
          </w:p>
          <w:p w14:paraId="08A98CA3" w14:textId="102DC0B5" w:rsidR="00474AE4" w:rsidRPr="00CB3897" w:rsidRDefault="00474AE4" w:rsidP="007008EF">
            <w:pPr>
              <w:spacing w:before="100" w:beforeAutospacing="1" w:after="100" w:afterAutospacing="1"/>
              <w:rPr>
                <w:color w:val="000000"/>
              </w:rPr>
            </w:pPr>
          </w:p>
        </w:tc>
      </w:tr>
      <w:tr w:rsidR="0093174A" w14:paraId="70FB4389" w14:textId="77777777" w:rsidTr="00CB3897">
        <w:tc>
          <w:tcPr>
            <w:tcW w:w="4675" w:type="dxa"/>
          </w:tcPr>
          <w:p w14:paraId="67E78395" w14:textId="35D8EAC3" w:rsidR="0093174A" w:rsidRDefault="00CB3897" w:rsidP="007008EF">
            <w:pPr>
              <w:spacing w:before="100" w:beforeAutospacing="1" w:after="100" w:afterAutospacing="1"/>
              <w:rPr>
                <w:b/>
                <w:bCs/>
                <w:color w:val="000000"/>
              </w:rPr>
            </w:pPr>
            <w:r>
              <w:rPr>
                <w:b/>
                <w:bCs/>
                <w:color w:val="000000"/>
              </w:rPr>
              <w:t>Monitoring</w:t>
            </w:r>
          </w:p>
        </w:tc>
        <w:tc>
          <w:tcPr>
            <w:tcW w:w="11250" w:type="dxa"/>
          </w:tcPr>
          <w:p w14:paraId="5F5540E4" w14:textId="388B5086" w:rsidR="00CB3897" w:rsidRDefault="00CB3897" w:rsidP="00CB3897">
            <w:pPr>
              <w:shd w:val="clear" w:color="auto" w:fill="F5F5F5"/>
              <w:spacing w:before="100" w:beforeAutospacing="1" w:after="100" w:afterAutospacing="1"/>
              <w:rPr>
                <w:b/>
                <w:bCs/>
                <w:color w:val="000000"/>
              </w:rPr>
            </w:pPr>
            <w:r w:rsidRPr="00F04577">
              <w:rPr>
                <w:rFonts w:ascii="Arial" w:eastAsia="Times New Roman" w:hAnsi="Arial" w:cs="Arial"/>
                <w:color w:val="000000"/>
                <w:sz w:val="20"/>
                <w:szCs w:val="20"/>
              </w:rPr>
              <w:t xml:space="preserve">A sample of these jobs will be pulled for desk monitoring, which may include requests for pictures of completed work. </w:t>
            </w:r>
            <w:r>
              <w:rPr>
                <w:rFonts w:ascii="Arial" w:eastAsia="Times New Roman" w:hAnsi="Arial" w:cs="Arial"/>
                <w:color w:val="000000"/>
                <w:sz w:val="20"/>
                <w:szCs w:val="20"/>
              </w:rPr>
              <w:t>Ten percent of weatherization ready jobs will be subject to technical monitoring.</w:t>
            </w:r>
          </w:p>
          <w:p w14:paraId="37AFDE98" w14:textId="77777777" w:rsidR="0093174A" w:rsidRDefault="0093174A" w:rsidP="007008EF">
            <w:pPr>
              <w:spacing w:before="100" w:beforeAutospacing="1" w:after="100" w:afterAutospacing="1"/>
              <w:rPr>
                <w:b/>
                <w:bCs/>
                <w:color w:val="000000"/>
              </w:rPr>
            </w:pPr>
          </w:p>
        </w:tc>
      </w:tr>
    </w:tbl>
    <w:p w14:paraId="784DF1E5" w14:textId="77777777" w:rsidR="00B17253" w:rsidRDefault="001A7993" w:rsidP="008C27F2">
      <w:pPr>
        <w:shd w:val="clear" w:color="auto" w:fill="F5F5F5"/>
        <w:spacing w:before="100" w:beforeAutospacing="1" w:after="100" w:afterAutospacing="1"/>
      </w:pPr>
    </w:p>
    <w:sectPr w:rsidR="00B17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A20CE"/>
    <w:multiLevelType w:val="multilevel"/>
    <w:tmpl w:val="7AE4F6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AB6875"/>
    <w:multiLevelType w:val="multilevel"/>
    <w:tmpl w:val="5D2C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54FBA"/>
    <w:multiLevelType w:val="multilevel"/>
    <w:tmpl w:val="D78EE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EE4E2A"/>
    <w:multiLevelType w:val="multilevel"/>
    <w:tmpl w:val="DC28990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F225BE"/>
    <w:multiLevelType w:val="multilevel"/>
    <w:tmpl w:val="3C7843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07642AB"/>
    <w:multiLevelType w:val="hybridMultilevel"/>
    <w:tmpl w:val="C6B80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D90A0D"/>
    <w:multiLevelType w:val="hybridMultilevel"/>
    <w:tmpl w:val="875A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B65ADA"/>
    <w:multiLevelType w:val="multilevel"/>
    <w:tmpl w:val="518485F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F493346"/>
    <w:multiLevelType w:val="hybridMultilevel"/>
    <w:tmpl w:val="A59A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42F6A"/>
    <w:multiLevelType w:val="hybridMultilevel"/>
    <w:tmpl w:val="701E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226849">
    <w:abstractNumId w:val="6"/>
  </w:num>
  <w:num w:numId="2" w16cid:durableId="730739297">
    <w:abstractNumId w:val="5"/>
  </w:num>
  <w:num w:numId="3" w16cid:durableId="7224885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46322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305370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376379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2022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5919926">
    <w:abstractNumId w:val="1"/>
  </w:num>
  <w:num w:numId="9" w16cid:durableId="451679296">
    <w:abstractNumId w:val="8"/>
  </w:num>
  <w:num w:numId="10" w16cid:durableId="17314931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EF"/>
    <w:rsid w:val="001A7993"/>
    <w:rsid w:val="00474AE4"/>
    <w:rsid w:val="005516F2"/>
    <w:rsid w:val="006E5188"/>
    <w:rsid w:val="006F4115"/>
    <w:rsid w:val="007008EF"/>
    <w:rsid w:val="008C27F2"/>
    <w:rsid w:val="0093174A"/>
    <w:rsid w:val="00C845D0"/>
    <w:rsid w:val="00CB3897"/>
    <w:rsid w:val="00F0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962B"/>
  <w15:chartTrackingRefBased/>
  <w15:docId w15:val="{E861AB82-8563-4C1D-8CD7-E7453F25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8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08EF"/>
    <w:rPr>
      <w:color w:val="0000FF"/>
      <w:u w:val="single"/>
    </w:rPr>
  </w:style>
  <w:style w:type="paragraph" w:customStyle="1" w:styleId="xmsonormal">
    <w:name w:val="x_msonormal"/>
    <w:basedOn w:val="Normal"/>
    <w:rsid w:val="007008EF"/>
  </w:style>
  <w:style w:type="table" w:styleId="TableGrid">
    <w:name w:val="Table Grid"/>
    <w:basedOn w:val="TableNormal"/>
    <w:uiPriority w:val="39"/>
    <w:rsid w:val="0093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457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E5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3125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67">
          <w:marLeft w:val="0"/>
          <w:marRight w:val="0"/>
          <w:marTop w:val="0"/>
          <w:marBottom w:val="0"/>
          <w:divBdr>
            <w:top w:val="none" w:sz="0" w:space="0" w:color="auto"/>
            <w:left w:val="none" w:sz="0" w:space="0" w:color="auto"/>
            <w:bottom w:val="none" w:sz="0" w:space="0" w:color="auto"/>
            <w:right w:val="none" w:sz="0" w:space="0" w:color="auto"/>
          </w:divBdr>
          <w:divsChild>
            <w:div w:id="2122412664">
              <w:marLeft w:val="0"/>
              <w:marRight w:val="0"/>
              <w:marTop w:val="0"/>
              <w:marBottom w:val="0"/>
              <w:divBdr>
                <w:top w:val="none" w:sz="0" w:space="0" w:color="auto"/>
                <w:left w:val="none" w:sz="0" w:space="0" w:color="auto"/>
                <w:bottom w:val="none" w:sz="0" w:space="0" w:color="auto"/>
                <w:right w:val="none" w:sz="0" w:space="0" w:color="auto"/>
              </w:divBdr>
              <w:divsChild>
                <w:div w:id="684794619">
                  <w:marLeft w:val="75"/>
                  <w:marRight w:val="75"/>
                  <w:marTop w:val="0"/>
                  <w:marBottom w:val="0"/>
                  <w:divBdr>
                    <w:top w:val="none" w:sz="0" w:space="0" w:color="auto"/>
                    <w:left w:val="none" w:sz="0" w:space="0" w:color="auto"/>
                    <w:bottom w:val="none" w:sz="0" w:space="0" w:color="auto"/>
                    <w:right w:val="none" w:sz="0" w:space="0" w:color="auto"/>
                  </w:divBdr>
                  <w:divsChild>
                    <w:div w:id="1974754869">
                      <w:marLeft w:val="0"/>
                      <w:marRight w:val="0"/>
                      <w:marTop w:val="0"/>
                      <w:marBottom w:val="0"/>
                      <w:divBdr>
                        <w:top w:val="none" w:sz="0" w:space="0" w:color="auto"/>
                        <w:left w:val="none" w:sz="0" w:space="0" w:color="auto"/>
                        <w:bottom w:val="none" w:sz="0" w:space="0" w:color="auto"/>
                        <w:right w:val="none" w:sz="0" w:space="0" w:color="auto"/>
                      </w:divBdr>
                      <w:divsChild>
                        <w:div w:id="329481665">
                          <w:marLeft w:val="0"/>
                          <w:marRight w:val="0"/>
                          <w:marTop w:val="0"/>
                          <w:marBottom w:val="0"/>
                          <w:divBdr>
                            <w:top w:val="none" w:sz="0" w:space="0" w:color="auto"/>
                            <w:left w:val="none" w:sz="0" w:space="0" w:color="auto"/>
                            <w:bottom w:val="none" w:sz="0" w:space="0" w:color="auto"/>
                            <w:right w:val="none" w:sz="0" w:space="0" w:color="auto"/>
                          </w:divBdr>
                          <w:divsChild>
                            <w:div w:id="599870880">
                              <w:marLeft w:val="75"/>
                              <w:marRight w:val="75"/>
                              <w:marTop w:val="0"/>
                              <w:marBottom w:val="0"/>
                              <w:divBdr>
                                <w:top w:val="none" w:sz="0" w:space="0" w:color="auto"/>
                                <w:left w:val="none" w:sz="0" w:space="0" w:color="auto"/>
                                <w:bottom w:val="none" w:sz="0" w:space="0" w:color="auto"/>
                                <w:right w:val="none" w:sz="0" w:space="0" w:color="auto"/>
                              </w:divBdr>
                              <w:divsChild>
                                <w:div w:id="1173570302">
                                  <w:marLeft w:val="0"/>
                                  <w:marRight w:val="0"/>
                                  <w:marTop w:val="0"/>
                                  <w:marBottom w:val="0"/>
                                  <w:divBdr>
                                    <w:top w:val="none" w:sz="0" w:space="0" w:color="auto"/>
                                    <w:left w:val="none" w:sz="0" w:space="0" w:color="auto"/>
                                    <w:bottom w:val="none" w:sz="0" w:space="0" w:color="auto"/>
                                    <w:right w:val="none" w:sz="0" w:space="0" w:color="auto"/>
                                  </w:divBdr>
                                  <w:divsChild>
                                    <w:div w:id="130832695">
                                      <w:marLeft w:val="0"/>
                                      <w:marRight w:val="0"/>
                                      <w:marTop w:val="0"/>
                                      <w:marBottom w:val="0"/>
                                      <w:divBdr>
                                        <w:top w:val="none" w:sz="0" w:space="0" w:color="auto"/>
                                        <w:left w:val="none" w:sz="0" w:space="0" w:color="auto"/>
                                        <w:bottom w:val="none" w:sz="0" w:space="0" w:color="auto"/>
                                        <w:right w:val="none" w:sz="0" w:space="0" w:color="auto"/>
                                      </w:divBdr>
                                      <w:divsChild>
                                        <w:div w:id="222453313">
                                          <w:marLeft w:val="0"/>
                                          <w:marRight w:val="0"/>
                                          <w:marTop w:val="0"/>
                                          <w:marBottom w:val="0"/>
                                          <w:divBdr>
                                            <w:top w:val="none" w:sz="0" w:space="0" w:color="auto"/>
                                            <w:left w:val="none" w:sz="0" w:space="0" w:color="auto"/>
                                            <w:bottom w:val="none" w:sz="0" w:space="0" w:color="auto"/>
                                            <w:right w:val="none" w:sz="0" w:space="0" w:color="auto"/>
                                          </w:divBdr>
                                          <w:divsChild>
                                            <w:div w:id="117577253">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sChild>
                                </w:div>
                              </w:divsChild>
                            </w:div>
                          </w:divsChild>
                        </w:div>
                      </w:divsChild>
                    </w:div>
                  </w:divsChild>
                </w:div>
              </w:divsChild>
            </w:div>
          </w:divsChild>
        </w:div>
      </w:divsChild>
    </w:div>
    <w:div w:id="143721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Keli Reynolds</dc:creator>
  <cp:keywords/>
  <dc:description/>
  <cp:lastModifiedBy>Jonathan Ballew</cp:lastModifiedBy>
  <cp:revision>2</cp:revision>
  <dcterms:created xsi:type="dcterms:W3CDTF">2022-06-15T13:20:00Z</dcterms:created>
  <dcterms:modified xsi:type="dcterms:W3CDTF">2022-06-15T13:20:00Z</dcterms:modified>
</cp:coreProperties>
</file>