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F425" w14:textId="77777777" w:rsidR="00051E6F" w:rsidRPr="00394E20" w:rsidRDefault="00051E6F" w:rsidP="00051E6F">
      <w:pPr>
        <w:jc w:val="center"/>
        <w:rPr>
          <w:rFonts w:ascii="Arial Narrow" w:hAnsi="Arial Narrow" w:cstheme="minorHAnsi"/>
          <w:b/>
          <w:bCs/>
        </w:rPr>
      </w:pPr>
      <w:r w:rsidRPr="00394E20">
        <w:rPr>
          <w:rFonts w:ascii="Arial Narrow" w:hAnsi="Arial Narrow" w:cstheme="minorHAnsi"/>
          <w:b/>
          <w:bCs/>
        </w:rPr>
        <w:t>Georgia Environmental Finance Authority</w:t>
      </w:r>
    </w:p>
    <w:p w14:paraId="019D2947" w14:textId="77777777" w:rsidR="00051E6F" w:rsidRPr="00394E20" w:rsidRDefault="00051E6F" w:rsidP="00051E6F">
      <w:pPr>
        <w:jc w:val="center"/>
        <w:rPr>
          <w:rFonts w:ascii="Arial Narrow" w:hAnsi="Arial Narrow" w:cstheme="minorHAnsi"/>
          <w:b/>
          <w:bCs/>
        </w:rPr>
      </w:pPr>
      <w:r w:rsidRPr="00394E20">
        <w:rPr>
          <w:rFonts w:ascii="Arial Narrow" w:hAnsi="Arial Narrow" w:cstheme="minorHAnsi"/>
          <w:b/>
          <w:bCs/>
        </w:rPr>
        <w:t>Weatherization Readiness Fund Plan</w:t>
      </w:r>
    </w:p>
    <w:p w14:paraId="054549C2" w14:textId="77777777" w:rsidR="00051E6F" w:rsidRPr="00394E20" w:rsidRDefault="00051E6F" w:rsidP="00051E6F">
      <w:pPr>
        <w:jc w:val="center"/>
        <w:rPr>
          <w:rFonts w:ascii="Arial Narrow" w:hAnsi="Arial Narrow" w:cstheme="minorHAnsi"/>
          <w:b/>
          <w:bCs/>
        </w:rPr>
      </w:pPr>
      <w:r w:rsidRPr="00394E20">
        <w:rPr>
          <w:rFonts w:ascii="Arial Narrow" w:hAnsi="Arial Narrow" w:cstheme="minorHAnsi"/>
          <w:b/>
          <w:bCs/>
        </w:rPr>
        <w:t>2022-2023</w:t>
      </w:r>
    </w:p>
    <w:p w14:paraId="07DAF703" w14:textId="77777777" w:rsidR="00051E6F" w:rsidRPr="00394E20" w:rsidRDefault="00051E6F">
      <w:pPr>
        <w:rPr>
          <w:rFonts w:ascii="Arial Narrow" w:hAnsi="Arial Narrow" w:cstheme="minorHAnsi"/>
          <w:b/>
        </w:rPr>
      </w:pPr>
    </w:p>
    <w:p w14:paraId="3D955A61" w14:textId="704D0DBB" w:rsidR="00FC5113" w:rsidRPr="00394E20" w:rsidRDefault="00FC5113" w:rsidP="00FC5113">
      <w:pPr>
        <w:pStyle w:val="Default"/>
        <w:rPr>
          <w:rFonts w:ascii="Arial Narrow" w:hAnsi="Arial Narrow" w:cstheme="minorHAnsi"/>
          <w:sz w:val="22"/>
          <w:szCs w:val="22"/>
        </w:rPr>
      </w:pPr>
      <w:r w:rsidRPr="00394E20">
        <w:rPr>
          <w:rFonts w:ascii="Arial Narrow" w:hAnsi="Arial Narrow" w:cstheme="minorHAnsi"/>
          <w:sz w:val="22"/>
          <w:szCs w:val="22"/>
        </w:rPr>
        <w:t xml:space="preserve">This plan serves to transmit information to Georgia’s Weatherization Assistance Program network (subgrantee agencies) outlining expectations for the weatherization readiness funds (WRF) made available through the Consolidated Appropriations Act of 2022. The purpose of these funds is to minimize the number of deferrals currently occurring within the network. </w:t>
      </w:r>
    </w:p>
    <w:p w14:paraId="274B8018" w14:textId="167DEDEA" w:rsidR="00372D5A" w:rsidRPr="00394E20" w:rsidRDefault="00372D5A" w:rsidP="00FC5113">
      <w:pPr>
        <w:pStyle w:val="Default"/>
        <w:rPr>
          <w:rFonts w:ascii="Arial Narrow" w:hAnsi="Arial Narrow" w:cstheme="minorHAnsi"/>
          <w:sz w:val="22"/>
          <w:szCs w:val="22"/>
        </w:rPr>
      </w:pPr>
    </w:p>
    <w:p w14:paraId="4179D814" w14:textId="22AB877F" w:rsidR="00EE3A7D" w:rsidRPr="00394E20" w:rsidRDefault="00372D5A" w:rsidP="00EE3A7D">
      <w:pPr>
        <w:pStyle w:val="Default"/>
        <w:rPr>
          <w:rFonts w:ascii="Arial Narrow" w:hAnsi="Arial Narrow" w:cstheme="minorHAnsi"/>
          <w:sz w:val="22"/>
          <w:szCs w:val="22"/>
        </w:rPr>
      </w:pPr>
      <w:r w:rsidRPr="00394E20">
        <w:rPr>
          <w:rFonts w:ascii="Arial Narrow" w:hAnsi="Arial Narrow" w:cstheme="minorHAnsi"/>
          <w:sz w:val="22"/>
          <w:szCs w:val="22"/>
        </w:rPr>
        <w:t xml:space="preserve">Through this WRF set-aside fund, the network can address necessary repairs </w:t>
      </w:r>
      <w:r w:rsidR="006F34D1" w:rsidRPr="00394E20">
        <w:rPr>
          <w:rFonts w:ascii="Arial Narrow" w:hAnsi="Arial Narrow" w:cstheme="minorHAnsi"/>
          <w:sz w:val="22"/>
          <w:szCs w:val="22"/>
        </w:rPr>
        <w:t xml:space="preserve">(e.g., structural and health and safety issues) </w:t>
      </w:r>
      <w:r w:rsidRPr="00394E20">
        <w:rPr>
          <w:rFonts w:ascii="Arial Narrow" w:hAnsi="Arial Narrow" w:cstheme="minorHAnsi"/>
          <w:sz w:val="22"/>
          <w:szCs w:val="22"/>
        </w:rPr>
        <w:t>in dwellings that have been deferred from receiving weatherization services. This funding is specifically targeted to reduce the frequency of deferred homes that require other services, outside the scope of weatherization, before the weatherization services can commence. Units receiving WRF must result in a DOE completion</w:t>
      </w:r>
      <w:r w:rsidR="007B6BDA" w:rsidRPr="00394E20">
        <w:rPr>
          <w:rFonts w:ascii="Arial Narrow" w:hAnsi="Arial Narrow" w:cstheme="minorHAnsi"/>
          <w:sz w:val="22"/>
          <w:szCs w:val="22"/>
        </w:rPr>
        <w:t>,</w:t>
      </w:r>
      <w:r w:rsidRPr="00394E20">
        <w:rPr>
          <w:rFonts w:ascii="Arial Narrow" w:hAnsi="Arial Narrow" w:cstheme="minorHAnsi"/>
          <w:sz w:val="22"/>
          <w:szCs w:val="22"/>
        </w:rPr>
        <w:t xml:space="preserve"> defined as, “A dwelling on which a DOE-approved energy audit or priority list has been applied and weatherization work has been completed.” WRF </w:t>
      </w:r>
      <w:r w:rsidR="007B6BDA" w:rsidRPr="00394E20">
        <w:rPr>
          <w:rFonts w:ascii="Arial Narrow" w:hAnsi="Arial Narrow" w:cstheme="minorHAnsi"/>
          <w:sz w:val="22"/>
          <w:szCs w:val="22"/>
        </w:rPr>
        <w:t>we</w:t>
      </w:r>
      <w:r w:rsidRPr="00394E20">
        <w:rPr>
          <w:rFonts w:ascii="Arial Narrow" w:hAnsi="Arial Narrow" w:cstheme="minorHAnsi"/>
          <w:sz w:val="22"/>
          <w:szCs w:val="22"/>
        </w:rPr>
        <w:t>re allocated to grantees using the T&amp;TA distribution model and were issued in WPN 22-2, Program Year 2022 Grantee Allocations</w:t>
      </w:r>
      <w:r w:rsidR="007B6BDA" w:rsidRPr="00394E20">
        <w:rPr>
          <w:rFonts w:ascii="Arial Narrow" w:hAnsi="Arial Narrow" w:cstheme="minorHAnsi"/>
          <w:sz w:val="22"/>
          <w:szCs w:val="22"/>
        </w:rPr>
        <w:t>.</w:t>
      </w:r>
      <w:r w:rsidR="00EE3A7D" w:rsidRPr="00394E20">
        <w:rPr>
          <w:rFonts w:ascii="Arial Narrow" w:hAnsi="Arial Narrow" w:cstheme="minorHAnsi"/>
          <w:sz w:val="22"/>
          <w:szCs w:val="22"/>
        </w:rPr>
        <w:t xml:space="preserve"> </w:t>
      </w:r>
    </w:p>
    <w:p w14:paraId="50F455EB" w14:textId="77777777" w:rsidR="00EE3A7D" w:rsidRPr="00394E20" w:rsidRDefault="00EE3A7D" w:rsidP="00EE3A7D">
      <w:pPr>
        <w:pStyle w:val="Default"/>
        <w:rPr>
          <w:rFonts w:ascii="Arial Narrow" w:hAnsi="Arial Narrow" w:cstheme="minorHAnsi"/>
          <w:sz w:val="22"/>
          <w:szCs w:val="22"/>
        </w:rPr>
      </w:pPr>
    </w:p>
    <w:p w14:paraId="786A29E7" w14:textId="05782E4A" w:rsidR="009D1F00" w:rsidRPr="00394E20" w:rsidRDefault="009D1F00" w:rsidP="009D1F00">
      <w:pPr>
        <w:rPr>
          <w:rFonts w:ascii="Arial Narrow" w:hAnsi="Arial Narrow" w:cstheme="minorHAnsi"/>
        </w:rPr>
      </w:pPr>
      <w:r w:rsidRPr="00394E20">
        <w:rPr>
          <w:rFonts w:ascii="Arial Narrow" w:hAnsi="Arial Narrow" w:cstheme="minorHAnsi"/>
          <w:b/>
        </w:rPr>
        <w:t>FUND DISTRIBUTION:</w:t>
      </w:r>
      <w:r w:rsidRPr="00394E20">
        <w:rPr>
          <w:rFonts w:ascii="Arial Narrow" w:hAnsi="Arial Narrow" w:cstheme="minorHAnsi"/>
        </w:rPr>
        <w:t xml:space="preserve"> Georgia was allocated $235,695 in WRF, which will be divided among </w:t>
      </w:r>
      <w:r w:rsidR="00394E20" w:rsidRPr="00394E20">
        <w:rPr>
          <w:rFonts w:ascii="Arial Narrow" w:hAnsi="Arial Narrow" w:cstheme="minorHAnsi"/>
        </w:rPr>
        <w:t>1</w:t>
      </w:r>
      <w:r w:rsidR="001D5916">
        <w:rPr>
          <w:rFonts w:ascii="Arial Narrow" w:hAnsi="Arial Narrow" w:cstheme="minorHAnsi"/>
        </w:rPr>
        <w:t>3</w:t>
      </w:r>
      <w:r w:rsidRPr="00394E20">
        <w:rPr>
          <w:rFonts w:ascii="Arial Narrow" w:hAnsi="Arial Narrow" w:cstheme="minorHAnsi"/>
        </w:rPr>
        <w:t xml:space="preserve"> </w:t>
      </w:r>
      <w:r w:rsidR="001D5916">
        <w:rPr>
          <w:rFonts w:ascii="Arial Narrow" w:hAnsi="Arial Narrow" w:cstheme="minorHAnsi"/>
        </w:rPr>
        <w:t xml:space="preserve">of our </w:t>
      </w:r>
      <w:r w:rsidRPr="00394E20">
        <w:rPr>
          <w:rFonts w:ascii="Arial Narrow" w:hAnsi="Arial Narrow" w:cstheme="minorHAnsi"/>
        </w:rPr>
        <w:t>subgrantee agencies as follows:</w:t>
      </w:r>
    </w:p>
    <w:p w14:paraId="3A760196" w14:textId="5C27A185" w:rsidR="00394E20" w:rsidRPr="00394E20" w:rsidRDefault="00394E20" w:rsidP="009D1F00">
      <w:pPr>
        <w:rPr>
          <w:rFonts w:ascii="Arial Narrow" w:hAnsi="Arial Narrow" w:cstheme="minorHAnsi"/>
        </w:rPr>
      </w:pPr>
    </w:p>
    <w:tbl>
      <w:tblPr>
        <w:tblW w:w="5575" w:type="dxa"/>
        <w:tblLook w:val="04A0" w:firstRow="1" w:lastRow="0" w:firstColumn="1" w:lastColumn="0" w:noHBand="0" w:noVBand="1"/>
      </w:tblPr>
      <w:tblGrid>
        <w:gridCol w:w="3685"/>
        <w:gridCol w:w="1890"/>
      </w:tblGrid>
      <w:tr w:rsidR="001D5916" w:rsidRPr="00394E20" w14:paraId="42712BAB"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EBFD01" w14:textId="3803DE49" w:rsidR="001D5916" w:rsidRPr="00394E20" w:rsidRDefault="001D5916" w:rsidP="001D5916">
            <w:pPr>
              <w:rPr>
                <w:rFonts w:ascii="Arial Narrow" w:eastAsia="Times New Roman" w:hAnsi="Arial Narrow"/>
              </w:rPr>
            </w:pPr>
            <w:r w:rsidRPr="00394E20">
              <w:rPr>
                <w:rFonts w:ascii="Arial Narrow" w:eastAsia="Times New Roman" w:hAnsi="Arial Narrow"/>
              </w:rPr>
              <w:t>ACTION</w:t>
            </w:r>
            <w:r>
              <w:rPr>
                <w:rFonts w:ascii="Arial Narrow" w:eastAsia="Times New Roman" w:hAnsi="Arial Narrow"/>
              </w:rPr>
              <w:t>,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55BE45" w14:textId="3C548325" w:rsidR="001D5916" w:rsidRPr="00394E20" w:rsidRDefault="001D5916" w:rsidP="001D5916">
            <w:pPr>
              <w:rPr>
                <w:rFonts w:ascii="Arial Narrow" w:eastAsia="Times New Roman" w:hAnsi="Arial Narrow"/>
                <w:color w:val="000000"/>
              </w:rPr>
            </w:pPr>
            <w:r>
              <w:rPr>
                <w:rFonts w:ascii="Arial Narrow" w:hAnsi="Arial Narrow"/>
                <w:color w:val="000000"/>
              </w:rPr>
              <w:t xml:space="preserve"> $           45,841.39 </w:t>
            </w:r>
          </w:p>
        </w:tc>
      </w:tr>
      <w:tr w:rsidR="001D5916" w:rsidRPr="00394E20" w14:paraId="47C98FB7"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AA5075B" w14:textId="77777777" w:rsidR="001D5916" w:rsidRPr="00394E20" w:rsidRDefault="001D5916" w:rsidP="001D5916">
            <w:pPr>
              <w:rPr>
                <w:rFonts w:ascii="Arial Narrow" w:eastAsia="Times New Roman" w:hAnsi="Arial Narrow"/>
              </w:rPr>
            </w:pPr>
            <w:r w:rsidRPr="00394E20">
              <w:rPr>
                <w:rFonts w:ascii="Arial Narrow" w:eastAsia="Times New Roman" w:hAnsi="Arial Narrow"/>
              </w:rPr>
              <w:t>Action Pact</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17E56D" w14:textId="293B45D5" w:rsidR="001D5916" w:rsidRPr="00394E20" w:rsidRDefault="001D5916" w:rsidP="001D5916">
            <w:pPr>
              <w:rPr>
                <w:rFonts w:ascii="Arial Narrow" w:eastAsia="Times New Roman" w:hAnsi="Arial Narrow"/>
                <w:color w:val="000000"/>
              </w:rPr>
            </w:pPr>
            <w:r>
              <w:rPr>
                <w:rFonts w:ascii="Arial Narrow" w:hAnsi="Arial Narrow"/>
                <w:color w:val="000000"/>
              </w:rPr>
              <w:t xml:space="preserve"> $           23,121.63 </w:t>
            </w:r>
          </w:p>
        </w:tc>
      </w:tr>
      <w:tr w:rsidR="001D5916" w:rsidRPr="00394E20" w14:paraId="4A6A2184"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9B48E8" w14:textId="0E049820" w:rsidR="001D5916" w:rsidRPr="00394E20" w:rsidRDefault="001D5916" w:rsidP="001D5916">
            <w:pPr>
              <w:rPr>
                <w:rFonts w:ascii="Arial Narrow" w:eastAsia="Times New Roman" w:hAnsi="Arial Narrow"/>
              </w:rPr>
            </w:pPr>
            <w:r w:rsidRPr="00394E20">
              <w:rPr>
                <w:rFonts w:ascii="Arial Narrow" w:eastAsia="Times New Roman" w:hAnsi="Arial Narrow"/>
              </w:rPr>
              <w:t>CAFI</w:t>
            </w:r>
            <w:r>
              <w:rPr>
                <w:rFonts w:ascii="Arial Narrow" w:eastAsia="Times New Roman" w:hAnsi="Arial Narrow"/>
              </w:rPr>
              <w:t>,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248B58F" w14:textId="3B8CB9F7" w:rsidR="001D5916" w:rsidRPr="00394E20" w:rsidRDefault="001D5916" w:rsidP="001D5916">
            <w:pPr>
              <w:rPr>
                <w:rFonts w:ascii="Arial Narrow" w:eastAsia="Times New Roman" w:hAnsi="Arial Narrow"/>
              </w:rPr>
            </w:pPr>
            <w:r>
              <w:rPr>
                <w:rFonts w:ascii="Arial Narrow" w:hAnsi="Arial Narrow"/>
              </w:rPr>
              <w:t xml:space="preserve"> $           16,390.94 </w:t>
            </w:r>
          </w:p>
        </w:tc>
      </w:tr>
      <w:tr w:rsidR="001D5916" w:rsidRPr="00394E20" w14:paraId="17FA9A76"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949460" w14:textId="475FC875" w:rsidR="001D5916" w:rsidRPr="00394E20" w:rsidRDefault="001D5916" w:rsidP="001D5916">
            <w:pPr>
              <w:rPr>
                <w:rFonts w:ascii="Arial Narrow" w:eastAsia="Times New Roman" w:hAnsi="Arial Narrow"/>
              </w:rPr>
            </w:pPr>
            <w:r w:rsidRPr="00394E20">
              <w:rPr>
                <w:rFonts w:ascii="Arial Narrow" w:eastAsia="Times New Roman" w:hAnsi="Arial Narrow"/>
              </w:rPr>
              <w:t>Clayton</w:t>
            </w:r>
            <w:r>
              <w:rPr>
                <w:rFonts w:ascii="Arial Narrow" w:eastAsia="Times New Roman" w:hAnsi="Arial Narrow"/>
              </w:rPr>
              <w:t xml:space="preserve"> County CSA,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30D1565" w14:textId="0FB8C15F" w:rsidR="001D5916" w:rsidRPr="00394E20" w:rsidRDefault="001D5916" w:rsidP="001D5916">
            <w:pPr>
              <w:rPr>
                <w:rFonts w:ascii="Arial Narrow" w:eastAsia="Times New Roman" w:hAnsi="Arial Narrow"/>
              </w:rPr>
            </w:pPr>
            <w:r>
              <w:rPr>
                <w:rFonts w:ascii="Arial Narrow" w:hAnsi="Arial Narrow"/>
              </w:rPr>
              <w:t xml:space="preserve"> $           12,094.08 </w:t>
            </w:r>
          </w:p>
        </w:tc>
      </w:tr>
      <w:tr w:rsidR="001D5916" w:rsidRPr="00394E20" w14:paraId="24A02432"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8E249A" w14:textId="07629A87" w:rsidR="001D5916" w:rsidRPr="00394E20" w:rsidRDefault="001D5916" w:rsidP="001D5916">
            <w:pPr>
              <w:rPr>
                <w:rFonts w:ascii="Arial Narrow" w:eastAsia="Times New Roman" w:hAnsi="Arial Narrow"/>
              </w:rPr>
            </w:pPr>
            <w:r w:rsidRPr="00394E20">
              <w:rPr>
                <w:rFonts w:ascii="Arial Narrow" w:eastAsia="Times New Roman" w:hAnsi="Arial Narrow"/>
              </w:rPr>
              <w:t>Coastal Plain</w:t>
            </w:r>
            <w:r>
              <w:rPr>
                <w:rFonts w:ascii="Arial Narrow" w:eastAsia="Times New Roman" w:hAnsi="Arial Narrow"/>
              </w:rPr>
              <w:t xml:space="preserve"> AEOA,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E1EF4C0" w14:textId="302D6127" w:rsidR="001D5916" w:rsidRPr="00394E20" w:rsidRDefault="001D5916" w:rsidP="001D5916">
            <w:pPr>
              <w:rPr>
                <w:rFonts w:ascii="Arial Narrow" w:eastAsia="Times New Roman" w:hAnsi="Arial Narrow"/>
              </w:rPr>
            </w:pPr>
            <w:r>
              <w:rPr>
                <w:rFonts w:ascii="Arial Narrow" w:hAnsi="Arial Narrow"/>
              </w:rPr>
              <w:t xml:space="preserve"> $             9,610.06 </w:t>
            </w:r>
          </w:p>
        </w:tc>
      </w:tr>
      <w:tr w:rsidR="001D5916" w:rsidRPr="00394E20" w14:paraId="25AA4098"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995FB7" w14:textId="69E60768" w:rsidR="001D5916" w:rsidRPr="00394E20" w:rsidRDefault="001D5916" w:rsidP="001D5916">
            <w:pPr>
              <w:rPr>
                <w:rFonts w:ascii="Arial Narrow" w:eastAsia="Times New Roman" w:hAnsi="Arial Narrow"/>
              </w:rPr>
            </w:pPr>
            <w:r w:rsidRPr="00394E20">
              <w:rPr>
                <w:rFonts w:ascii="Arial Narrow" w:eastAsia="Times New Roman" w:hAnsi="Arial Narrow"/>
              </w:rPr>
              <w:t>C</w:t>
            </w:r>
            <w:r>
              <w:rPr>
                <w:rFonts w:ascii="Arial Narrow" w:eastAsia="Times New Roman" w:hAnsi="Arial Narrow"/>
              </w:rPr>
              <w:t>entral Savannah River AEOA,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CF9C93E" w14:textId="6A25F589" w:rsidR="001D5916" w:rsidRPr="00394E20" w:rsidRDefault="001D5916" w:rsidP="001D5916">
            <w:pPr>
              <w:rPr>
                <w:rFonts w:ascii="Arial Narrow" w:eastAsia="Times New Roman" w:hAnsi="Arial Narrow"/>
              </w:rPr>
            </w:pPr>
            <w:r>
              <w:rPr>
                <w:rFonts w:ascii="Arial Narrow" w:hAnsi="Arial Narrow"/>
              </w:rPr>
              <w:t xml:space="preserve"> $           14,557.42 </w:t>
            </w:r>
          </w:p>
        </w:tc>
      </w:tr>
      <w:tr w:rsidR="001D5916" w:rsidRPr="00394E20" w14:paraId="74E0D145"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7CBE5F" w14:textId="2D60FC5C" w:rsidR="001D5916" w:rsidRPr="00394E20" w:rsidRDefault="001D5916" w:rsidP="001D5916">
            <w:pPr>
              <w:rPr>
                <w:rFonts w:ascii="Arial Narrow" w:eastAsia="Times New Roman" w:hAnsi="Arial Narrow"/>
              </w:rPr>
            </w:pPr>
            <w:r w:rsidRPr="00394E20">
              <w:rPr>
                <w:rFonts w:ascii="Arial Narrow" w:eastAsia="Times New Roman" w:hAnsi="Arial Narrow"/>
              </w:rPr>
              <w:t>M</w:t>
            </w:r>
            <w:r>
              <w:rPr>
                <w:rFonts w:ascii="Arial Narrow" w:eastAsia="Times New Roman" w:hAnsi="Arial Narrow"/>
              </w:rPr>
              <w:t>iddle GA CAA,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9FEA00" w14:textId="15CB7027" w:rsidR="001D5916" w:rsidRPr="00394E20" w:rsidRDefault="001D5916" w:rsidP="001D5916">
            <w:pPr>
              <w:rPr>
                <w:rFonts w:ascii="Arial Narrow" w:eastAsia="Times New Roman" w:hAnsi="Arial Narrow"/>
              </w:rPr>
            </w:pPr>
            <w:r>
              <w:rPr>
                <w:rFonts w:ascii="Arial Narrow" w:hAnsi="Arial Narrow"/>
              </w:rPr>
              <w:t xml:space="preserve"> $           20,819.42 </w:t>
            </w:r>
          </w:p>
        </w:tc>
      </w:tr>
      <w:tr w:rsidR="001D5916" w:rsidRPr="00394E20" w14:paraId="3F813228"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C94B02" w14:textId="40C7E96D" w:rsidR="001D5916" w:rsidRPr="00394E20" w:rsidRDefault="001D5916" w:rsidP="001D5916">
            <w:pPr>
              <w:rPr>
                <w:rFonts w:ascii="Arial Narrow" w:eastAsia="Times New Roman" w:hAnsi="Arial Narrow"/>
              </w:rPr>
            </w:pPr>
            <w:r w:rsidRPr="00394E20">
              <w:rPr>
                <w:rFonts w:ascii="Arial Narrow" w:eastAsia="Times New Roman" w:hAnsi="Arial Narrow"/>
              </w:rPr>
              <w:t>N</w:t>
            </w:r>
            <w:r w:rsidR="00334293">
              <w:rPr>
                <w:rFonts w:ascii="Arial Narrow" w:eastAsia="Times New Roman" w:hAnsi="Arial Narrow"/>
              </w:rPr>
              <w:t xml:space="preserve">inth </w:t>
            </w:r>
            <w:r w:rsidRPr="00394E20">
              <w:rPr>
                <w:rFonts w:ascii="Arial Narrow" w:eastAsia="Times New Roman" w:hAnsi="Arial Narrow"/>
              </w:rPr>
              <w:t>D</w:t>
            </w:r>
            <w:r w:rsidR="00334293">
              <w:rPr>
                <w:rFonts w:ascii="Arial Narrow" w:eastAsia="Times New Roman" w:hAnsi="Arial Narrow"/>
              </w:rPr>
              <w:t xml:space="preserve">istrict </w:t>
            </w:r>
            <w:r w:rsidRPr="00394E20">
              <w:rPr>
                <w:rFonts w:ascii="Arial Narrow" w:eastAsia="Times New Roman" w:hAnsi="Arial Narrow"/>
              </w:rPr>
              <w:t>O</w:t>
            </w:r>
            <w:r w:rsidR="00334293">
              <w:rPr>
                <w:rFonts w:ascii="Arial Narrow" w:eastAsia="Times New Roman" w:hAnsi="Arial Narrow"/>
              </w:rPr>
              <w:t>pportunity</w:t>
            </w:r>
            <w:r>
              <w:rPr>
                <w:rFonts w:ascii="Arial Narrow" w:eastAsia="Times New Roman" w:hAnsi="Arial Narrow"/>
              </w:rPr>
              <w:t>,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84F912D" w14:textId="133654DA" w:rsidR="001D5916" w:rsidRPr="00394E20" w:rsidRDefault="001D5916" w:rsidP="001D5916">
            <w:pPr>
              <w:rPr>
                <w:rFonts w:ascii="Arial Narrow" w:eastAsia="Times New Roman" w:hAnsi="Arial Narrow"/>
              </w:rPr>
            </w:pPr>
            <w:r>
              <w:rPr>
                <w:rFonts w:ascii="Arial Narrow" w:hAnsi="Arial Narrow"/>
              </w:rPr>
              <w:t xml:space="preserve"> $           14,124.00 </w:t>
            </w:r>
          </w:p>
        </w:tc>
      </w:tr>
      <w:tr w:rsidR="001D5916" w:rsidRPr="00394E20" w14:paraId="1299820A"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A6DF4F5" w14:textId="52819590" w:rsidR="001D5916" w:rsidRPr="00394E20" w:rsidRDefault="001D5916" w:rsidP="001D5916">
            <w:pPr>
              <w:rPr>
                <w:rFonts w:ascii="Arial Narrow" w:eastAsia="Times New Roman" w:hAnsi="Arial Narrow"/>
              </w:rPr>
            </w:pPr>
            <w:r w:rsidRPr="00394E20">
              <w:rPr>
                <w:rFonts w:ascii="Arial Narrow" w:eastAsia="Times New Roman" w:hAnsi="Arial Narrow"/>
              </w:rPr>
              <w:t>N</w:t>
            </w:r>
            <w:r>
              <w:rPr>
                <w:rFonts w:ascii="Arial Narrow" w:eastAsia="Times New Roman" w:hAnsi="Arial Narrow"/>
              </w:rPr>
              <w:t>orth GA CA,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75B3F55" w14:textId="17D3C909" w:rsidR="001D5916" w:rsidRPr="00394E20" w:rsidRDefault="001D5916" w:rsidP="001D5916">
            <w:pPr>
              <w:rPr>
                <w:rFonts w:ascii="Arial Narrow" w:eastAsia="Times New Roman" w:hAnsi="Arial Narrow"/>
              </w:rPr>
            </w:pPr>
            <w:r>
              <w:rPr>
                <w:rFonts w:ascii="Arial Narrow" w:hAnsi="Arial Narrow"/>
              </w:rPr>
              <w:t xml:space="preserve"> $           13,968.33 </w:t>
            </w:r>
          </w:p>
        </w:tc>
      </w:tr>
      <w:tr w:rsidR="001D5916" w:rsidRPr="00394E20" w14:paraId="7B0322B3"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1E6B2A" w14:textId="45F99684" w:rsidR="001D5916" w:rsidRPr="00394E20" w:rsidRDefault="001D5916" w:rsidP="001D5916">
            <w:pPr>
              <w:rPr>
                <w:rFonts w:ascii="Arial Narrow" w:eastAsia="Times New Roman" w:hAnsi="Arial Narrow"/>
              </w:rPr>
            </w:pPr>
            <w:r w:rsidRPr="00394E20">
              <w:rPr>
                <w:rFonts w:ascii="Arial Narrow" w:eastAsia="Times New Roman" w:hAnsi="Arial Narrow"/>
              </w:rPr>
              <w:t>Overview</w:t>
            </w:r>
            <w:r>
              <w:rPr>
                <w:rFonts w:ascii="Arial Narrow" w:eastAsia="Times New Roman" w:hAnsi="Arial Narrow"/>
              </w:rPr>
              <w:t>,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01E034" w14:textId="0BBCA971" w:rsidR="001D5916" w:rsidRPr="00394E20" w:rsidRDefault="001D5916" w:rsidP="001D5916">
            <w:pPr>
              <w:rPr>
                <w:rFonts w:ascii="Arial Narrow" w:eastAsia="Times New Roman" w:hAnsi="Arial Narrow"/>
              </w:rPr>
            </w:pPr>
            <w:r>
              <w:rPr>
                <w:rFonts w:ascii="Arial Narrow" w:hAnsi="Arial Narrow"/>
              </w:rPr>
              <w:t xml:space="preserve"> $             5,497.87 </w:t>
            </w:r>
          </w:p>
        </w:tc>
      </w:tr>
      <w:tr w:rsidR="001D5916" w:rsidRPr="00394E20" w14:paraId="5896061F"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25717F3" w14:textId="0FEAE20F" w:rsidR="001D5916" w:rsidRPr="00394E20" w:rsidRDefault="001D5916" w:rsidP="001D5916">
            <w:pPr>
              <w:rPr>
                <w:rFonts w:ascii="Arial Narrow" w:eastAsia="Times New Roman" w:hAnsi="Arial Narrow"/>
              </w:rPr>
            </w:pPr>
            <w:r>
              <w:rPr>
                <w:rFonts w:ascii="Arial Narrow" w:eastAsia="Times New Roman" w:hAnsi="Arial Narrow"/>
              </w:rPr>
              <w:t>Southwest GA CAC,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23EA6E9" w14:textId="74603A7C" w:rsidR="001D5916" w:rsidRPr="00394E20" w:rsidRDefault="001D5916" w:rsidP="001D5916">
            <w:pPr>
              <w:rPr>
                <w:rFonts w:ascii="Arial Narrow" w:eastAsia="Times New Roman" w:hAnsi="Arial Narrow"/>
              </w:rPr>
            </w:pPr>
            <w:r>
              <w:rPr>
                <w:rFonts w:ascii="Arial Narrow" w:hAnsi="Arial Narrow"/>
              </w:rPr>
              <w:t xml:space="preserve"> $           14,747.23 </w:t>
            </w:r>
          </w:p>
        </w:tc>
      </w:tr>
      <w:tr w:rsidR="001D5916" w:rsidRPr="00394E20" w14:paraId="3B90C691"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75A610" w14:textId="733DF4F3" w:rsidR="001D5916" w:rsidRPr="00394E20" w:rsidRDefault="001D5916" w:rsidP="001D5916">
            <w:pPr>
              <w:rPr>
                <w:rFonts w:ascii="Arial Narrow" w:eastAsia="Times New Roman" w:hAnsi="Arial Narrow"/>
              </w:rPr>
            </w:pPr>
            <w:r w:rsidRPr="00394E20">
              <w:rPr>
                <w:rFonts w:ascii="Arial Narrow" w:eastAsia="Times New Roman" w:hAnsi="Arial Narrow"/>
              </w:rPr>
              <w:t>T</w:t>
            </w:r>
            <w:r>
              <w:rPr>
                <w:rFonts w:ascii="Arial Narrow" w:eastAsia="Times New Roman" w:hAnsi="Arial Narrow"/>
              </w:rPr>
              <w:t xml:space="preserve">allatoona </w:t>
            </w:r>
            <w:r w:rsidRPr="00394E20">
              <w:rPr>
                <w:rFonts w:ascii="Arial Narrow" w:eastAsia="Times New Roman" w:hAnsi="Arial Narrow"/>
              </w:rPr>
              <w:t>CAP</w:t>
            </w:r>
            <w:r>
              <w:rPr>
                <w:rFonts w:ascii="Arial Narrow" w:eastAsia="Times New Roman" w:hAnsi="Arial Narrow"/>
              </w:rPr>
              <w:t>,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2705C46" w14:textId="5463A723" w:rsidR="001D5916" w:rsidRPr="00394E20" w:rsidRDefault="001D5916" w:rsidP="001D5916">
            <w:pPr>
              <w:rPr>
                <w:rFonts w:ascii="Arial Narrow" w:eastAsia="Times New Roman" w:hAnsi="Arial Narrow"/>
              </w:rPr>
            </w:pPr>
            <w:r>
              <w:rPr>
                <w:rFonts w:ascii="Arial Narrow" w:hAnsi="Arial Narrow"/>
              </w:rPr>
              <w:t xml:space="preserve"> $           38,112.86 </w:t>
            </w:r>
          </w:p>
        </w:tc>
      </w:tr>
      <w:tr w:rsidR="001D5916" w:rsidRPr="00394E20" w14:paraId="578BBCDE" w14:textId="77777777" w:rsidTr="00487EF2">
        <w:trPr>
          <w:trHeight w:val="319"/>
        </w:trPr>
        <w:tc>
          <w:tcPr>
            <w:tcW w:w="368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1E7A0C" w14:textId="3A8D5F99" w:rsidR="001D5916" w:rsidRPr="00394E20" w:rsidRDefault="001D5916" w:rsidP="001D5916">
            <w:pPr>
              <w:rPr>
                <w:rFonts w:ascii="Arial Narrow" w:eastAsia="Times New Roman" w:hAnsi="Arial Narrow"/>
              </w:rPr>
            </w:pPr>
            <w:r w:rsidRPr="00394E20">
              <w:rPr>
                <w:rFonts w:ascii="Arial Narrow" w:eastAsia="Times New Roman" w:hAnsi="Arial Narrow"/>
              </w:rPr>
              <w:t>W</w:t>
            </w:r>
            <w:r>
              <w:rPr>
                <w:rFonts w:ascii="Arial Narrow" w:eastAsia="Times New Roman" w:hAnsi="Arial Narrow"/>
              </w:rPr>
              <w:t xml:space="preserve">est </w:t>
            </w:r>
            <w:r w:rsidRPr="00394E20">
              <w:rPr>
                <w:rFonts w:ascii="Arial Narrow" w:eastAsia="Times New Roman" w:hAnsi="Arial Narrow"/>
              </w:rPr>
              <w:t>C</w:t>
            </w:r>
            <w:r>
              <w:rPr>
                <w:rFonts w:ascii="Arial Narrow" w:eastAsia="Times New Roman" w:hAnsi="Arial Narrow"/>
              </w:rPr>
              <w:t xml:space="preserve">entral </w:t>
            </w:r>
            <w:r w:rsidRPr="00394E20">
              <w:rPr>
                <w:rFonts w:ascii="Arial Narrow" w:eastAsia="Times New Roman" w:hAnsi="Arial Narrow"/>
              </w:rPr>
              <w:t>GA</w:t>
            </w:r>
            <w:r>
              <w:rPr>
                <w:rFonts w:ascii="Arial Narrow" w:eastAsia="Times New Roman" w:hAnsi="Arial Narrow"/>
              </w:rPr>
              <w:t xml:space="preserve"> CAC, Inc.</w:t>
            </w:r>
          </w:p>
        </w:tc>
        <w:tc>
          <w:tcPr>
            <w:tcW w:w="189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3D023C" w14:textId="0E328BBC" w:rsidR="001D5916" w:rsidRPr="00394E20" w:rsidRDefault="001D5916" w:rsidP="001D5916">
            <w:pPr>
              <w:rPr>
                <w:rFonts w:ascii="Arial Narrow" w:eastAsia="Times New Roman" w:hAnsi="Arial Narrow"/>
              </w:rPr>
            </w:pPr>
            <w:r>
              <w:rPr>
                <w:rFonts w:ascii="Arial Narrow" w:hAnsi="Arial Narrow"/>
              </w:rPr>
              <w:t xml:space="preserve"> $             6,809.77 </w:t>
            </w:r>
          </w:p>
        </w:tc>
      </w:tr>
    </w:tbl>
    <w:p w14:paraId="776C56D6" w14:textId="491171CC" w:rsidR="00394E20" w:rsidRPr="00394E20" w:rsidRDefault="00394E20" w:rsidP="009D1F00">
      <w:pPr>
        <w:rPr>
          <w:rFonts w:ascii="Arial Narrow" w:hAnsi="Arial Narrow" w:cstheme="minorHAnsi"/>
        </w:rPr>
      </w:pPr>
    </w:p>
    <w:p w14:paraId="6F4DE1A4" w14:textId="616105BC" w:rsidR="00674918" w:rsidRPr="00394E20" w:rsidRDefault="009D1F00" w:rsidP="000B78D2">
      <w:pPr>
        <w:rPr>
          <w:rFonts w:ascii="Arial Narrow" w:eastAsia="Times New Roman" w:hAnsi="Arial Narrow" w:cstheme="minorHAnsi"/>
        </w:rPr>
      </w:pPr>
      <w:r w:rsidRPr="00394E20">
        <w:rPr>
          <w:rFonts w:ascii="Arial Narrow" w:hAnsi="Arial Narrow" w:cstheme="minorHAnsi"/>
          <w:b/>
          <w:bCs/>
        </w:rPr>
        <w:t xml:space="preserve">HOUSEHOLD PRIORITIZATION: </w:t>
      </w:r>
      <w:r w:rsidR="00D50991" w:rsidRPr="00394E20">
        <w:rPr>
          <w:rFonts w:ascii="Arial Narrow" w:hAnsi="Arial Narrow" w:cstheme="minorHAnsi"/>
          <w:bCs/>
        </w:rPr>
        <w:t>WRF c</w:t>
      </w:r>
      <w:r w:rsidR="00D50991" w:rsidRPr="00394E20">
        <w:rPr>
          <w:rFonts w:ascii="Arial Narrow" w:hAnsi="Arial Narrow" w:cstheme="minorHAnsi"/>
        </w:rPr>
        <w:t xml:space="preserve">lients will be </w:t>
      </w:r>
      <w:r w:rsidR="00914F6B" w:rsidRPr="00394E20">
        <w:rPr>
          <w:rFonts w:ascii="Arial Narrow" w:hAnsi="Arial Narrow" w:cstheme="minorHAnsi"/>
        </w:rPr>
        <w:t>processed</w:t>
      </w:r>
      <w:r w:rsidR="00D50991" w:rsidRPr="00394E20">
        <w:rPr>
          <w:rFonts w:ascii="Arial Narrow" w:hAnsi="Arial Narrow" w:cstheme="minorHAnsi"/>
        </w:rPr>
        <w:t xml:space="preserve"> through Georgia’s </w:t>
      </w:r>
      <w:r w:rsidR="009E0FF7" w:rsidRPr="00394E20">
        <w:rPr>
          <w:rFonts w:ascii="Arial Narrow" w:hAnsi="Arial Narrow" w:cstheme="minorHAnsi"/>
        </w:rPr>
        <w:t>regular c</w:t>
      </w:r>
      <w:r w:rsidR="00D50991" w:rsidRPr="00394E20">
        <w:rPr>
          <w:rFonts w:ascii="Arial Narrow" w:hAnsi="Arial Narrow" w:cstheme="minorHAnsi"/>
        </w:rPr>
        <w:t xml:space="preserve">lient management system. </w:t>
      </w:r>
      <w:r w:rsidR="00914F6B" w:rsidRPr="00394E20">
        <w:rPr>
          <w:rFonts w:ascii="Arial Narrow" w:hAnsi="Arial Narrow" w:cstheme="minorHAnsi"/>
        </w:rPr>
        <w:t xml:space="preserve">Clients </w:t>
      </w:r>
      <w:r w:rsidR="00AF72C3" w:rsidRPr="00394E20">
        <w:rPr>
          <w:rFonts w:ascii="Arial Narrow" w:hAnsi="Arial Narrow" w:cstheme="minorHAnsi"/>
        </w:rPr>
        <w:t xml:space="preserve">currently </w:t>
      </w:r>
      <w:r w:rsidR="00914F6B" w:rsidRPr="00394E20">
        <w:rPr>
          <w:rFonts w:ascii="Arial Narrow" w:hAnsi="Arial Narrow" w:cstheme="minorHAnsi"/>
        </w:rPr>
        <w:t xml:space="preserve">on a </w:t>
      </w:r>
      <w:r w:rsidR="00AF72C3" w:rsidRPr="00394E20">
        <w:rPr>
          <w:rFonts w:ascii="Arial Narrow" w:hAnsi="Arial Narrow" w:cstheme="minorHAnsi"/>
        </w:rPr>
        <w:t xml:space="preserve">deferral </w:t>
      </w:r>
      <w:r w:rsidR="00106DC2" w:rsidRPr="00394E20">
        <w:rPr>
          <w:rFonts w:ascii="Arial Narrow" w:hAnsi="Arial Narrow" w:cstheme="minorHAnsi"/>
        </w:rPr>
        <w:t xml:space="preserve">wait list </w:t>
      </w:r>
      <w:r w:rsidR="000B6A14" w:rsidRPr="00394E20">
        <w:rPr>
          <w:rFonts w:ascii="Arial Narrow" w:hAnsi="Arial Narrow" w:cstheme="minorHAnsi"/>
        </w:rPr>
        <w:t xml:space="preserve">that are still eligible </w:t>
      </w:r>
      <w:r w:rsidR="00FC5057" w:rsidRPr="00394E20">
        <w:rPr>
          <w:rFonts w:ascii="Arial Narrow" w:hAnsi="Arial Narrow" w:cstheme="minorHAnsi"/>
        </w:rPr>
        <w:t>will</w:t>
      </w:r>
      <w:r w:rsidR="00106DC2" w:rsidRPr="00394E20">
        <w:rPr>
          <w:rFonts w:ascii="Arial Narrow" w:hAnsi="Arial Narrow" w:cstheme="minorHAnsi"/>
        </w:rPr>
        <w:t xml:space="preserve"> be considered immediately for W</w:t>
      </w:r>
      <w:r w:rsidR="00914F6B" w:rsidRPr="00394E20">
        <w:rPr>
          <w:rFonts w:ascii="Arial Narrow" w:hAnsi="Arial Narrow" w:cstheme="minorHAnsi"/>
        </w:rPr>
        <w:t>RF</w:t>
      </w:r>
      <w:r w:rsidR="00106DC2" w:rsidRPr="00394E20">
        <w:rPr>
          <w:rFonts w:ascii="Arial Narrow" w:hAnsi="Arial Narrow" w:cstheme="minorHAnsi"/>
        </w:rPr>
        <w:t xml:space="preserve"> to </w:t>
      </w:r>
      <w:r w:rsidR="00914F6B" w:rsidRPr="00394E20">
        <w:rPr>
          <w:rFonts w:ascii="Arial Narrow" w:hAnsi="Arial Narrow" w:cstheme="minorHAnsi"/>
        </w:rPr>
        <w:t xml:space="preserve">move them </w:t>
      </w:r>
      <w:r w:rsidR="00AF72C3" w:rsidRPr="00394E20">
        <w:rPr>
          <w:rFonts w:ascii="Arial Narrow" w:hAnsi="Arial Narrow" w:cstheme="minorHAnsi"/>
        </w:rPr>
        <w:t>o</w:t>
      </w:r>
      <w:r w:rsidR="00914F6B" w:rsidRPr="00394E20">
        <w:rPr>
          <w:rFonts w:ascii="Arial Narrow" w:hAnsi="Arial Narrow" w:cstheme="minorHAnsi"/>
        </w:rPr>
        <w:t xml:space="preserve">nto the </w:t>
      </w:r>
      <w:r w:rsidR="00106DC2" w:rsidRPr="00394E20">
        <w:rPr>
          <w:rFonts w:ascii="Arial Narrow" w:hAnsi="Arial Narrow" w:cstheme="minorHAnsi"/>
        </w:rPr>
        <w:t xml:space="preserve">weatherization </w:t>
      </w:r>
      <w:r w:rsidR="00AF72C3" w:rsidRPr="00394E20">
        <w:rPr>
          <w:rFonts w:ascii="Arial Narrow" w:hAnsi="Arial Narrow" w:cstheme="minorHAnsi"/>
        </w:rPr>
        <w:t>wait list</w:t>
      </w:r>
      <w:r w:rsidR="00106DC2" w:rsidRPr="00394E20">
        <w:rPr>
          <w:rFonts w:ascii="Arial Narrow" w:hAnsi="Arial Narrow" w:cstheme="minorHAnsi"/>
        </w:rPr>
        <w:t xml:space="preserve">. </w:t>
      </w:r>
      <w:r w:rsidR="009D4DE5" w:rsidRPr="00394E20">
        <w:rPr>
          <w:rFonts w:ascii="Arial Narrow" w:eastAsia="Times New Roman" w:hAnsi="Arial Narrow" w:cstheme="minorHAnsi"/>
        </w:rPr>
        <w:t xml:space="preserve">For all other WRF needs, agencies </w:t>
      </w:r>
      <w:r w:rsidR="000B6A14" w:rsidRPr="00394E20">
        <w:rPr>
          <w:rFonts w:ascii="Arial Narrow" w:eastAsia="Times New Roman" w:hAnsi="Arial Narrow" w:cstheme="minorHAnsi"/>
        </w:rPr>
        <w:t xml:space="preserve">will </w:t>
      </w:r>
      <w:r w:rsidR="009D4DE5" w:rsidRPr="00394E20">
        <w:rPr>
          <w:rFonts w:ascii="Arial Narrow" w:eastAsia="Times New Roman" w:hAnsi="Arial Narrow" w:cstheme="minorHAnsi"/>
        </w:rPr>
        <w:t>follow the same priority and ranking used for weatherization.</w:t>
      </w:r>
      <w:r w:rsidR="000B6A14" w:rsidRPr="00394E20">
        <w:rPr>
          <w:rFonts w:ascii="Arial Narrow" w:eastAsia="Times New Roman" w:hAnsi="Arial Narrow" w:cstheme="minorHAnsi"/>
        </w:rPr>
        <w:t xml:space="preserve"> </w:t>
      </w:r>
      <w:r w:rsidR="00674918" w:rsidRPr="00394E20">
        <w:rPr>
          <w:rFonts w:ascii="Arial Narrow" w:eastAsia="Times New Roman" w:hAnsi="Arial Narrow" w:cstheme="minorHAnsi"/>
        </w:rPr>
        <w:t>Units that need work that is beyond what WRF, other funding sources, and weatherization can provide will be deferred</w:t>
      </w:r>
      <w:r w:rsidR="00965011" w:rsidRPr="00394E20">
        <w:rPr>
          <w:rFonts w:ascii="Arial Narrow" w:eastAsia="Times New Roman" w:hAnsi="Arial Narrow" w:cstheme="minorHAnsi"/>
        </w:rPr>
        <w:t>,</w:t>
      </w:r>
      <w:r w:rsidR="00674918" w:rsidRPr="00394E20">
        <w:rPr>
          <w:rFonts w:ascii="Arial Narrow" w:eastAsia="Times New Roman" w:hAnsi="Arial Narrow" w:cstheme="minorHAnsi"/>
        </w:rPr>
        <w:t xml:space="preserve"> following the regular deferral </w:t>
      </w:r>
      <w:r w:rsidR="00923E1F" w:rsidRPr="00394E20">
        <w:rPr>
          <w:rFonts w:ascii="Arial Narrow" w:eastAsia="Times New Roman" w:hAnsi="Arial Narrow" w:cstheme="minorHAnsi"/>
        </w:rPr>
        <w:t>policy,</w:t>
      </w:r>
      <w:r w:rsidR="00674918" w:rsidRPr="00394E20">
        <w:rPr>
          <w:rFonts w:ascii="Arial Narrow" w:eastAsia="Times New Roman" w:hAnsi="Arial Narrow" w:cstheme="minorHAnsi"/>
        </w:rPr>
        <w:t xml:space="preserve"> and tracked.</w:t>
      </w:r>
    </w:p>
    <w:p w14:paraId="4CFFE4C0" w14:textId="77777777" w:rsidR="00674918" w:rsidRPr="00394E20" w:rsidRDefault="00674918" w:rsidP="000B78D2">
      <w:pPr>
        <w:rPr>
          <w:rFonts w:ascii="Arial Narrow" w:eastAsia="Times New Roman" w:hAnsi="Arial Narrow" w:cstheme="minorHAnsi"/>
        </w:rPr>
      </w:pPr>
    </w:p>
    <w:p w14:paraId="2168BFA0" w14:textId="375C9409" w:rsidR="00EE3A7D" w:rsidRPr="00394E20" w:rsidRDefault="009D1F00" w:rsidP="00EE3A7D">
      <w:pPr>
        <w:pStyle w:val="Default"/>
        <w:rPr>
          <w:rFonts w:ascii="Arial Narrow" w:hAnsi="Arial Narrow" w:cstheme="minorHAnsi"/>
          <w:b/>
          <w:bCs/>
          <w:sz w:val="22"/>
          <w:szCs w:val="22"/>
        </w:rPr>
      </w:pPr>
      <w:r w:rsidRPr="00394E20">
        <w:rPr>
          <w:rFonts w:ascii="Arial Narrow" w:hAnsi="Arial Narrow" w:cstheme="minorHAnsi"/>
          <w:b/>
          <w:bCs/>
          <w:sz w:val="22"/>
          <w:szCs w:val="22"/>
        </w:rPr>
        <w:t>FUNDING RESTRICTIONS:</w:t>
      </w:r>
      <w:r w:rsidR="00D50991" w:rsidRPr="00394E20">
        <w:rPr>
          <w:rFonts w:ascii="Arial Narrow" w:hAnsi="Arial Narrow" w:cstheme="minorHAnsi"/>
          <w:sz w:val="22"/>
          <w:szCs w:val="22"/>
        </w:rPr>
        <w:t xml:space="preserve"> WRF must only be used for activities within same the grant award and must not be used to fund work on bipartisan infrastructure law (BIL) weatherized units. WRF can only be used on homes that will receive weatherization services following the repairs.</w:t>
      </w:r>
      <w:r w:rsidR="007B6BDA" w:rsidRPr="00394E20">
        <w:rPr>
          <w:rFonts w:ascii="Arial Narrow" w:hAnsi="Arial Narrow" w:cstheme="minorHAnsi"/>
          <w:sz w:val="22"/>
          <w:szCs w:val="22"/>
        </w:rPr>
        <w:t xml:space="preserve"> WRF funds are specific to the annual appropriation funding and must be expended on units weatherized within the formula PY 2022 grant by the subgrantees identified in the state plan application.</w:t>
      </w:r>
    </w:p>
    <w:p w14:paraId="01CDDBA1" w14:textId="77777777" w:rsidR="009D1F00" w:rsidRPr="00394E20" w:rsidRDefault="009D1F00" w:rsidP="00EE3A7D">
      <w:pPr>
        <w:pStyle w:val="Default"/>
        <w:rPr>
          <w:rFonts w:ascii="Arial Narrow" w:hAnsi="Arial Narrow" w:cstheme="minorHAnsi"/>
          <w:sz w:val="22"/>
          <w:szCs w:val="22"/>
        </w:rPr>
      </w:pPr>
    </w:p>
    <w:p w14:paraId="7192E299" w14:textId="77777777" w:rsidR="00674918" w:rsidRPr="00394E20" w:rsidRDefault="009D1F00" w:rsidP="00674918">
      <w:pPr>
        <w:rPr>
          <w:rFonts w:ascii="Arial Narrow" w:hAnsi="Arial Narrow" w:cstheme="minorHAnsi"/>
        </w:rPr>
      </w:pPr>
      <w:r w:rsidRPr="00394E20">
        <w:rPr>
          <w:rFonts w:ascii="Arial Narrow" w:hAnsi="Arial Narrow" w:cstheme="minorHAnsi"/>
          <w:b/>
        </w:rPr>
        <w:t>MONITORING OF UNITS:</w:t>
      </w:r>
      <w:r w:rsidRPr="00394E20">
        <w:rPr>
          <w:rFonts w:ascii="Arial Narrow" w:hAnsi="Arial Narrow" w:cstheme="minorHAnsi"/>
        </w:rPr>
        <w:t xml:space="preserve"> Agencies will inspect 100 percent of the WRF units and </w:t>
      </w:r>
      <w:r w:rsidR="00D50991" w:rsidRPr="00394E20">
        <w:rPr>
          <w:rFonts w:ascii="Arial Narrow" w:hAnsi="Arial Narrow" w:cstheme="minorHAnsi"/>
        </w:rPr>
        <w:t>GEFA</w:t>
      </w:r>
      <w:r w:rsidRPr="00394E20">
        <w:rPr>
          <w:rFonts w:ascii="Arial Narrow" w:hAnsi="Arial Narrow" w:cstheme="minorHAnsi"/>
        </w:rPr>
        <w:t xml:space="preserve"> will inspect a minimum of 10 percent </w:t>
      </w:r>
      <w:r w:rsidR="00D50991" w:rsidRPr="00394E20">
        <w:rPr>
          <w:rFonts w:ascii="Arial Narrow" w:hAnsi="Arial Narrow" w:cstheme="minorHAnsi"/>
        </w:rPr>
        <w:t>(</w:t>
      </w:r>
      <w:r w:rsidRPr="00394E20">
        <w:rPr>
          <w:rFonts w:ascii="Arial Narrow" w:hAnsi="Arial Narrow" w:cstheme="minorHAnsi"/>
        </w:rPr>
        <w:t>the same amount inspected for standard field monitoring</w:t>
      </w:r>
      <w:r w:rsidR="00D50991" w:rsidRPr="00394E20">
        <w:rPr>
          <w:rFonts w:ascii="Arial Narrow" w:hAnsi="Arial Narrow" w:cstheme="minorHAnsi"/>
        </w:rPr>
        <w:t>)</w:t>
      </w:r>
      <w:r w:rsidRPr="00394E20">
        <w:rPr>
          <w:rFonts w:ascii="Arial Narrow" w:hAnsi="Arial Narrow" w:cstheme="minorHAnsi"/>
        </w:rPr>
        <w:t xml:space="preserve">. GEFA also will add a WRF section to </w:t>
      </w:r>
      <w:r w:rsidR="00A25CC6" w:rsidRPr="00394E20">
        <w:rPr>
          <w:rFonts w:ascii="Arial Narrow" w:hAnsi="Arial Narrow" w:cstheme="minorHAnsi"/>
        </w:rPr>
        <w:t>its</w:t>
      </w:r>
      <w:r w:rsidRPr="00394E20">
        <w:rPr>
          <w:rFonts w:ascii="Arial Narrow" w:hAnsi="Arial Narrow" w:cstheme="minorHAnsi"/>
        </w:rPr>
        <w:t xml:space="preserve"> QCI checklist</w:t>
      </w:r>
      <w:r w:rsidR="00A25CC6" w:rsidRPr="00394E20">
        <w:rPr>
          <w:rFonts w:ascii="Arial Narrow" w:hAnsi="Arial Narrow" w:cstheme="minorHAnsi"/>
        </w:rPr>
        <w:t xml:space="preserve"> or create a separate checklist</w:t>
      </w:r>
      <w:r w:rsidRPr="00394E20">
        <w:rPr>
          <w:rFonts w:ascii="Arial Narrow" w:hAnsi="Arial Narrow" w:cstheme="minorHAnsi"/>
        </w:rPr>
        <w:t>.</w:t>
      </w:r>
      <w:r w:rsidR="00674A76" w:rsidRPr="00394E20">
        <w:rPr>
          <w:rFonts w:ascii="Arial Narrow" w:hAnsi="Arial Narrow" w:cstheme="minorHAnsi"/>
        </w:rPr>
        <w:t xml:space="preserve"> </w:t>
      </w:r>
      <w:r w:rsidR="00A25CC6" w:rsidRPr="00394E20">
        <w:rPr>
          <w:rFonts w:ascii="Arial Narrow" w:hAnsi="Arial Narrow" w:cstheme="minorHAnsi"/>
        </w:rPr>
        <w:t>GEFA will m</w:t>
      </w:r>
      <w:r w:rsidR="00674A76" w:rsidRPr="00394E20">
        <w:rPr>
          <w:rFonts w:ascii="Arial Narrow" w:hAnsi="Arial Narrow" w:cstheme="minorHAnsi"/>
        </w:rPr>
        <w:t xml:space="preserve">onitor these funds as part of </w:t>
      </w:r>
      <w:r w:rsidR="00A25CC6" w:rsidRPr="00394E20">
        <w:rPr>
          <w:rFonts w:ascii="Arial Narrow" w:hAnsi="Arial Narrow" w:cstheme="minorHAnsi"/>
        </w:rPr>
        <w:t>its</w:t>
      </w:r>
      <w:r w:rsidR="00674A76" w:rsidRPr="00394E20">
        <w:rPr>
          <w:rFonts w:ascii="Arial Narrow" w:hAnsi="Arial Narrow" w:cstheme="minorHAnsi"/>
        </w:rPr>
        <w:t xml:space="preserve"> annual monitoring of </w:t>
      </w:r>
      <w:r w:rsidR="00A25CC6" w:rsidRPr="00394E20">
        <w:rPr>
          <w:rFonts w:ascii="Arial Narrow" w:hAnsi="Arial Narrow" w:cstheme="minorHAnsi"/>
        </w:rPr>
        <w:t>s</w:t>
      </w:r>
      <w:r w:rsidR="00674A76" w:rsidRPr="00394E20">
        <w:rPr>
          <w:rFonts w:ascii="Arial Narrow" w:hAnsi="Arial Narrow" w:cstheme="minorHAnsi"/>
        </w:rPr>
        <w:t xml:space="preserve">ubgrantees </w:t>
      </w:r>
      <w:r w:rsidR="00A25CC6" w:rsidRPr="00394E20">
        <w:rPr>
          <w:rFonts w:ascii="Arial Narrow" w:hAnsi="Arial Narrow" w:cstheme="minorHAnsi"/>
        </w:rPr>
        <w:t xml:space="preserve">to </w:t>
      </w:r>
      <w:r w:rsidR="00674A76" w:rsidRPr="00394E20">
        <w:rPr>
          <w:rFonts w:ascii="Arial Narrow" w:hAnsi="Arial Narrow" w:cstheme="minorHAnsi"/>
        </w:rPr>
        <w:t>ensur</w:t>
      </w:r>
      <w:r w:rsidR="00A25CC6" w:rsidRPr="00394E20">
        <w:rPr>
          <w:rFonts w:ascii="Arial Narrow" w:hAnsi="Arial Narrow" w:cstheme="minorHAnsi"/>
        </w:rPr>
        <w:t>e</w:t>
      </w:r>
      <w:r w:rsidR="00674A76" w:rsidRPr="00394E20">
        <w:rPr>
          <w:rFonts w:ascii="Arial Narrow" w:hAnsi="Arial Narrow" w:cstheme="minorHAnsi"/>
        </w:rPr>
        <w:t xml:space="preserve"> the funds are expended in accordance with </w:t>
      </w:r>
      <w:r w:rsidR="00A25CC6" w:rsidRPr="00394E20">
        <w:rPr>
          <w:rFonts w:ascii="Arial Narrow" w:hAnsi="Arial Narrow" w:cstheme="minorHAnsi"/>
        </w:rPr>
        <w:t xml:space="preserve">this plan and </w:t>
      </w:r>
      <w:r w:rsidR="00674A76" w:rsidRPr="00394E20">
        <w:rPr>
          <w:rFonts w:ascii="Arial Narrow" w:hAnsi="Arial Narrow" w:cstheme="minorHAnsi"/>
        </w:rPr>
        <w:t>for the purposes approved by DOE,</w:t>
      </w:r>
      <w:r w:rsidR="00A25CC6" w:rsidRPr="00394E20">
        <w:rPr>
          <w:rFonts w:ascii="Arial Narrow" w:hAnsi="Arial Narrow" w:cstheme="minorHAnsi"/>
        </w:rPr>
        <w:t xml:space="preserve"> </w:t>
      </w:r>
      <w:r w:rsidR="00674A76" w:rsidRPr="00394E20">
        <w:rPr>
          <w:rFonts w:ascii="Arial Narrow" w:hAnsi="Arial Narrow" w:cstheme="minorHAnsi"/>
        </w:rPr>
        <w:t>result</w:t>
      </w:r>
      <w:r w:rsidR="00A25CC6" w:rsidRPr="00394E20">
        <w:rPr>
          <w:rFonts w:ascii="Arial Narrow" w:hAnsi="Arial Narrow" w:cstheme="minorHAnsi"/>
        </w:rPr>
        <w:t>ing</w:t>
      </w:r>
      <w:r w:rsidR="00674A76" w:rsidRPr="00394E20">
        <w:rPr>
          <w:rFonts w:ascii="Arial Narrow" w:hAnsi="Arial Narrow" w:cstheme="minorHAnsi"/>
        </w:rPr>
        <w:t xml:space="preserve"> in completed units.</w:t>
      </w:r>
      <w:r w:rsidR="00674918" w:rsidRPr="00394E20">
        <w:rPr>
          <w:rFonts w:ascii="Arial Narrow" w:hAnsi="Arial Narrow" w:cstheme="minorHAnsi"/>
        </w:rPr>
        <w:t xml:space="preserve"> </w:t>
      </w:r>
    </w:p>
    <w:p w14:paraId="083D1437" w14:textId="77777777" w:rsidR="00674918" w:rsidRPr="00394E20" w:rsidRDefault="00674918" w:rsidP="00674918">
      <w:pPr>
        <w:rPr>
          <w:rFonts w:ascii="Arial Narrow" w:hAnsi="Arial Narrow" w:cstheme="minorHAnsi"/>
        </w:rPr>
      </w:pPr>
    </w:p>
    <w:p w14:paraId="77B6B9F6" w14:textId="341E4380" w:rsidR="00EE3A7D" w:rsidRPr="00394E20" w:rsidRDefault="00EC4875" w:rsidP="009D1F00">
      <w:pPr>
        <w:rPr>
          <w:rFonts w:ascii="Arial Narrow" w:hAnsi="Arial Narrow" w:cstheme="minorHAnsi"/>
        </w:rPr>
      </w:pPr>
      <w:r w:rsidRPr="00394E20">
        <w:rPr>
          <w:rFonts w:ascii="Arial Narrow" w:hAnsi="Arial Narrow" w:cstheme="minorHAnsi"/>
          <w:b/>
        </w:rPr>
        <w:t>MAXIMUM AMOUNT PER UNIT</w:t>
      </w:r>
      <w:r w:rsidR="009D1F00" w:rsidRPr="00394E20">
        <w:rPr>
          <w:rFonts w:ascii="Arial Narrow" w:hAnsi="Arial Narrow" w:cstheme="minorHAnsi"/>
          <w:b/>
        </w:rPr>
        <w:t>:</w:t>
      </w:r>
      <w:r w:rsidR="009D1F00" w:rsidRPr="00394E20">
        <w:rPr>
          <w:rFonts w:ascii="Arial Narrow" w:hAnsi="Arial Narrow" w:cstheme="minorHAnsi"/>
        </w:rPr>
        <w:t xml:space="preserve"> The </w:t>
      </w:r>
      <w:r w:rsidR="00EE3A7D" w:rsidRPr="00394E20">
        <w:rPr>
          <w:rFonts w:ascii="Arial Narrow" w:hAnsi="Arial Narrow" w:cstheme="minorHAnsi"/>
        </w:rPr>
        <w:t xml:space="preserve">maximum amount </w:t>
      </w:r>
      <w:r w:rsidR="00A25CC6" w:rsidRPr="00394E20">
        <w:rPr>
          <w:rFonts w:ascii="Arial Narrow" w:hAnsi="Arial Narrow" w:cstheme="minorHAnsi"/>
        </w:rPr>
        <w:t>of WR</w:t>
      </w:r>
      <w:r w:rsidR="00FC5057" w:rsidRPr="00394E20">
        <w:rPr>
          <w:rFonts w:ascii="Arial Narrow" w:hAnsi="Arial Narrow" w:cstheme="minorHAnsi"/>
        </w:rPr>
        <w:t>F</w:t>
      </w:r>
      <w:r w:rsidR="00A25CC6" w:rsidRPr="00394E20">
        <w:rPr>
          <w:rFonts w:ascii="Arial Narrow" w:hAnsi="Arial Narrow" w:cstheme="minorHAnsi"/>
        </w:rPr>
        <w:t xml:space="preserve"> that can be expended </w:t>
      </w:r>
      <w:r w:rsidR="00EE3A7D" w:rsidRPr="00394E20">
        <w:rPr>
          <w:rFonts w:ascii="Arial Narrow" w:hAnsi="Arial Narrow" w:cstheme="minorHAnsi"/>
        </w:rPr>
        <w:t xml:space="preserve">per home </w:t>
      </w:r>
      <w:r w:rsidRPr="00394E20">
        <w:rPr>
          <w:rFonts w:ascii="Arial Narrow" w:hAnsi="Arial Narrow" w:cstheme="minorHAnsi"/>
        </w:rPr>
        <w:t>is $1</w:t>
      </w:r>
      <w:r w:rsidR="00054351" w:rsidRPr="00394E20">
        <w:rPr>
          <w:rFonts w:ascii="Arial Narrow" w:hAnsi="Arial Narrow" w:cstheme="minorHAnsi"/>
        </w:rPr>
        <w:t>6</w:t>
      </w:r>
      <w:r w:rsidRPr="00394E20">
        <w:rPr>
          <w:rFonts w:ascii="Arial Narrow" w:hAnsi="Arial Narrow" w:cstheme="minorHAnsi"/>
        </w:rPr>
        <w:t>,000.</w:t>
      </w:r>
      <w:r w:rsidR="00EE3A7D" w:rsidRPr="00394E20">
        <w:rPr>
          <w:rFonts w:ascii="Arial Narrow" w:hAnsi="Arial Narrow" w:cstheme="minorHAnsi"/>
        </w:rPr>
        <w:t xml:space="preserve"> </w:t>
      </w:r>
    </w:p>
    <w:p w14:paraId="126DE206" w14:textId="77777777" w:rsidR="009D1F00" w:rsidRPr="00394E20" w:rsidRDefault="009D1F00" w:rsidP="00EE3A7D">
      <w:pPr>
        <w:pStyle w:val="Default"/>
        <w:rPr>
          <w:rFonts w:ascii="Arial Narrow" w:hAnsi="Arial Narrow" w:cstheme="minorHAnsi"/>
          <w:sz w:val="22"/>
          <w:szCs w:val="22"/>
        </w:rPr>
      </w:pPr>
    </w:p>
    <w:p w14:paraId="28A44B2E" w14:textId="0BBBDBF6" w:rsidR="00674A76" w:rsidRPr="00394E20" w:rsidRDefault="00674A76" w:rsidP="00674A76">
      <w:pPr>
        <w:pStyle w:val="Default"/>
        <w:rPr>
          <w:rFonts w:ascii="Arial Narrow" w:hAnsi="Arial Narrow" w:cstheme="minorHAnsi"/>
          <w:sz w:val="22"/>
          <w:szCs w:val="22"/>
        </w:rPr>
      </w:pPr>
      <w:r w:rsidRPr="00394E20">
        <w:rPr>
          <w:rFonts w:ascii="Arial Narrow" w:hAnsi="Arial Narrow" w:cstheme="minorHAnsi"/>
          <w:b/>
          <w:bCs/>
          <w:sz w:val="22"/>
          <w:szCs w:val="22"/>
        </w:rPr>
        <w:lastRenderedPageBreak/>
        <w:t>TRACKING:</w:t>
      </w:r>
      <w:r w:rsidRPr="00394E20">
        <w:rPr>
          <w:rFonts w:ascii="Arial Narrow" w:hAnsi="Arial Narrow" w:cstheme="minorHAnsi"/>
          <w:sz w:val="22"/>
          <w:szCs w:val="22"/>
        </w:rPr>
        <w:t xml:space="preserve"> Subgrantees are required to track:</w:t>
      </w:r>
    </w:p>
    <w:p w14:paraId="5A4192F4" w14:textId="458B9BB4" w:rsidR="006374C7" w:rsidRPr="00394E20" w:rsidRDefault="006374C7" w:rsidP="006374C7">
      <w:pPr>
        <w:pStyle w:val="Default"/>
        <w:numPr>
          <w:ilvl w:val="0"/>
          <w:numId w:val="8"/>
        </w:numPr>
        <w:rPr>
          <w:rFonts w:ascii="Arial Narrow" w:hAnsi="Arial Narrow" w:cstheme="minorHAnsi"/>
          <w:sz w:val="22"/>
          <w:szCs w:val="22"/>
        </w:rPr>
      </w:pPr>
      <w:r w:rsidRPr="00394E20">
        <w:rPr>
          <w:rFonts w:ascii="Arial Narrow" w:hAnsi="Arial Narrow" w:cstheme="minorHAnsi"/>
          <w:sz w:val="22"/>
          <w:szCs w:val="22"/>
        </w:rPr>
        <w:t>Avoided deferrals – the number of dwelling units made weatherization ready with these funds, and for each unit:</w:t>
      </w:r>
    </w:p>
    <w:p w14:paraId="20AF8411" w14:textId="417DDE60" w:rsidR="006374C7" w:rsidRPr="00394E20" w:rsidRDefault="006374C7" w:rsidP="006374C7">
      <w:pPr>
        <w:pStyle w:val="Default"/>
        <w:numPr>
          <w:ilvl w:val="1"/>
          <w:numId w:val="8"/>
        </w:numPr>
        <w:rPr>
          <w:rFonts w:ascii="Arial Narrow" w:hAnsi="Arial Narrow" w:cstheme="minorHAnsi"/>
          <w:sz w:val="22"/>
          <w:szCs w:val="22"/>
        </w:rPr>
      </w:pPr>
      <w:r w:rsidRPr="00394E20">
        <w:rPr>
          <w:rFonts w:ascii="Arial Narrow" w:hAnsi="Arial Narrow" w:cstheme="minorHAnsi"/>
          <w:sz w:val="22"/>
          <w:szCs w:val="22"/>
        </w:rPr>
        <w:t>Year built</w:t>
      </w:r>
    </w:p>
    <w:p w14:paraId="086A4976" w14:textId="1053D9D6" w:rsidR="006374C7" w:rsidRPr="00394E20" w:rsidRDefault="006374C7" w:rsidP="006374C7">
      <w:pPr>
        <w:pStyle w:val="Default"/>
        <w:numPr>
          <w:ilvl w:val="1"/>
          <w:numId w:val="8"/>
        </w:numPr>
        <w:rPr>
          <w:rFonts w:ascii="Arial Narrow" w:hAnsi="Arial Narrow" w:cstheme="minorHAnsi"/>
          <w:sz w:val="22"/>
          <w:szCs w:val="22"/>
        </w:rPr>
      </w:pPr>
      <w:r w:rsidRPr="00394E20">
        <w:rPr>
          <w:rFonts w:ascii="Arial Narrow" w:hAnsi="Arial Narrow" w:cstheme="minorHAnsi"/>
          <w:sz w:val="22"/>
          <w:szCs w:val="22"/>
        </w:rPr>
        <w:t>Housing type (site-built single family, manufactured housing)</w:t>
      </w:r>
    </w:p>
    <w:p w14:paraId="63C1AA72" w14:textId="43EE8E99" w:rsidR="006374C7" w:rsidRPr="00394E20" w:rsidRDefault="006374C7" w:rsidP="006374C7">
      <w:pPr>
        <w:pStyle w:val="Default"/>
        <w:numPr>
          <w:ilvl w:val="1"/>
          <w:numId w:val="8"/>
        </w:numPr>
        <w:rPr>
          <w:rFonts w:ascii="Arial Narrow" w:hAnsi="Arial Narrow" w:cstheme="minorHAnsi"/>
          <w:sz w:val="22"/>
          <w:szCs w:val="22"/>
        </w:rPr>
      </w:pPr>
      <w:r w:rsidRPr="00394E20">
        <w:rPr>
          <w:rFonts w:ascii="Arial Narrow" w:hAnsi="Arial Narrow" w:cstheme="minorHAnsi"/>
          <w:sz w:val="22"/>
          <w:szCs w:val="22"/>
        </w:rPr>
        <w:t>Nature of repairs needed which prohibit weatherization</w:t>
      </w:r>
      <w:r w:rsidR="00893008" w:rsidRPr="00394E20">
        <w:rPr>
          <w:rFonts w:ascii="Arial Narrow" w:hAnsi="Arial Narrow" w:cstheme="minorHAnsi"/>
          <w:sz w:val="22"/>
          <w:szCs w:val="22"/>
        </w:rPr>
        <w:t xml:space="preserve"> (select all that apply);</w:t>
      </w:r>
      <w:r w:rsidRPr="00394E20">
        <w:rPr>
          <w:rFonts w:ascii="Arial Narrow" w:hAnsi="Arial Narrow" w:cstheme="minorHAnsi"/>
          <w:sz w:val="22"/>
          <w:szCs w:val="22"/>
        </w:rPr>
        <w:t xml:space="preserve"> </w:t>
      </w:r>
      <w:r w:rsidR="00893008" w:rsidRPr="00394E20">
        <w:rPr>
          <w:rFonts w:ascii="Arial Narrow" w:hAnsi="Arial Narrow" w:cstheme="minorHAnsi"/>
          <w:sz w:val="22"/>
          <w:szCs w:val="22"/>
        </w:rPr>
        <w:t>t</w:t>
      </w:r>
      <w:r w:rsidRPr="00394E20">
        <w:rPr>
          <w:rFonts w:ascii="Arial Narrow" w:hAnsi="Arial Narrow" w:cstheme="minorHAnsi"/>
          <w:sz w:val="22"/>
          <w:szCs w:val="22"/>
        </w:rPr>
        <w:t xml:space="preserve">his is not an exhaustive list and </w:t>
      </w:r>
      <w:r w:rsidR="00893008" w:rsidRPr="00394E20">
        <w:rPr>
          <w:rFonts w:ascii="Arial Narrow" w:hAnsi="Arial Narrow" w:cstheme="minorHAnsi"/>
          <w:sz w:val="22"/>
          <w:szCs w:val="22"/>
        </w:rPr>
        <w:t>subg</w:t>
      </w:r>
      <w:r w:rsidRPr="00394E20">
        <w:rPr>
          <w:rFonts w:ascii="Arial Narrow" w:hAnsi="Arial Narrow" w:cstheme="minorHAnsi"/>
          <w:sz w:val="22"/>
          <w:szCs w:val="22"/>
        </w:rPr>
        <w:t>rantees may add repairs as needed</w:t>
      </w:r>
      <w:r w:rsidR="00893008" w:rsidRPr="00394E20">
        <w:rPr>
          <w:rFonts w:ascii="Arial Narrow" w:hAnsi="Arial Narrow" w:cstheme="minorHAnsi"/>
          <w:sz w:val="22"/>
          <w:szCs w:val="22"/>
        </w:rPr>
        <w:t xml:space="preserve"> with advance written approval from GEFA:</w:t>
      </w:r>
    </w:p>
    <w:p w14:paraId="63472A76" w14:textId="77777777" w:rsidR="006374C7" w:rsidRPr="00394E20" w:rsidRDefault="006374C7" w:rsidP="00642195">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Roof repair</w:t>
      </w:r>
    </w:p>
    <w:p w14:paraId="200AE8ED" w14:textId="77777777" w:rsidR="006374C7" w:rsidRPr="00394E20" w:rsidRDefault="006374C7" w:rsidP="00855A4F">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Wall repair (interior or exterior)</w:t>
      </w:r>
    </w:p>
    <w:p w14:paraId="06E97AA4" w14:textId="77777777" w:rsidR="006374C7" w:rsidRPr="00394E20" w:rsidRDefault="006374C7" w:rsidP="00256AA1">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Ceiling repair</w:t>
      </w:r>
    </w:p>
    <w:p w14:paraId="5A172658" w14:textId="77777777" w:rsidR="006374C7" w:rsidRPr="00394E20" w:rsidRDefault="006374C7" w:rsidP="00A95CA5">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Floor repair</w:t>
      </w:r>
    </w:p>
    <w:p w14:paraId="185BF3DF" w14:textId="77777777" w:rsidR="006374C7" w:rsidRPr="00394E20" w:rsidRDefault="006374C7" w:rsidP="006E7B9F">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Foundation or subspace repair</w:t>
      </w:r>
    </w:p>
    <w:p w14:paraId="62DF1B16" w14:textId="77777777" w:rsidR="006374C7" w:rsidRPr="00394E20" w:rsidRDefault="006374C7" w:rsidP="0066601F">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Exterior drainage repairs (e.g., landscaping or gutters)</w:t>
      </w:r>
    </w:p>
    <w:p w14:paraId="6F70384F" w14:textId="5B93F06B" w:rsidR="006374C7" w:rsidRPr="00394E20" w:rsidRDefault="006374C7" w:rsidP="00492724">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Plumbing repair</w:t>
      </w:r>
    </w:p>
    <w:p w14:paraId="2A846CBF" w14:textId="77777777" w:rsidR="006374C7" w:rsidRPr="00394E20" w:rsidRDefault="006374C7" w:rsidP="00366E07">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Electrical repair</w:t>
      </w:r>
    </w:p>
    <w:p w14:paraId="79040B5E" w14:textId="77777777" w:rsidR="006374C7" w:rsidRPr="00394E20" w:rsidRDefault="006374C7" w:rsidP="0069269B">
      <w:pPr>
        <w:pStyle w:val="Default"/>
        <w:numPr>
          <w:ilvl w:val="2"/>
          <w:numId w:val="8"/>
        </w:numPr>
        <w:rPr>
          <w:rFonts w:ascii="Arial Narrow" w:hAnsi="Arial Narrow" w:cstheme="minorHAnsi"/>
          <w:sz w:val="22"/>
          <w:szCs w:val="22"/>
        </w:rPr>
      </w:pPr>
      <w:r w:rsidRPr="00394E20">
        <w:rPr>
          <w:rFonts w:ascii="Arial Narrow" w:hAnsi="Arial Narrow" w:cstheme="minorHAnsi"/>
          <w:sz w:val="22"/>
          <w:szCs w:val="22"/>
        </w:rPr>
        <w:t>Clean-up or remediation beyond typical scope</w:t>
      </w:r>
    </w:p>
    <w:p w14:paraId="3A64B7FA" w14:textId="77777777" w:rsidR="006374C7" w:rsidRPr="00394E20" w:rsidRDefault="006374C7" w:rsidP="00B51840">
      <w:pPr>
        <w:pStyle w:val="Default"/>
        <w:numPr>
          <w:ilvl w:val="3"/>
          <w:numId w:val="8"/>
        </w:numPr>
        <w:rPr>
          <w:rFonts w:ascii="Arial Narrow" w:hAnsi="Arial Narrow" w:cstheme="minorHAnsi"/>
          <w:sz w:val="22"/>
          <w:szCs w:val="22"/>
        </w:rPr>
      </w:pPr>
      <w:r w:rsidRPr="00394E20">
        <w:rPr>
          <w:rFonts w:ascii="Arial Narrow" w:hAnsi="Arial Narrow" w:cstheme="minorHAnsi"/>
          <w:sz w:val="22"/>
          <w:szCs w:val="22"/>
        </w:rPr>
        <w:t>Lead paint</w:t>
      </w:r>
    </w:p>
    <w:p w14:paraId="710C81C7" w14:textId="77777777" w:rsidR="006374C7" w:rsidRPr="00394E20" w:rsidRDefault="006374C7" w:rsidP="006374C7">
      <w:pPr>
        <w:pStyle w:val="Default"/>
        <w:numPr>
          <w:ilvl w:val="3"/>
          <w:numId w:val="8"/>
        </w:numPr>
        <w:rPr>
          <w:rFonts w:ascii="Arial Narrow" w:hAnsi="Arial Narrow" w:cstheme="minorHAnsi"/>
          <w:sz w:val="22"/>
          <w:szCs w:val="22"/>
        </w:rPr>
      </w:pPr>
      <w:r w:rsidRPr="00394E20">
        <w:rPr>
          <w:rFonts w:ascii="Arial Narrow" w:hAnsi="Arial Narrow" w:cstheme="minorHAnsi"/>
          <w:sz w:val="22"/>
          <w:szCs w:val="22"/>
        </w:rPr>
        <w:t>Asbestos (confirmed or suspected, including vermiculite)</w:t>
      </w:r>
    </w:p>
    <w:p w14:paraId="2264AAAC" w14:textId="0D01D2E9" w:rsidR="006374C7" w:rsidRPr="00394E20" w:rsidRDefault="006374C7" w:rsidP="00EE5F51">
      <w:pPr>
        <w:pStyle w:val="Default"/>
        <w:numPr>
          <w:ilvl w:val="3"/>
          <w:numId w:val="8"/>
        </w:numPr>
        <w:rPr>
          <w:rFonts w:ascii="Arial Narrow" w:hAnsi="Arial Narrow" w:cstheme="minorHAnsi"/>
          <w:sz w:val="22"/>
          <w:szCs w:val="22"/>
        </w:rPr>
      </w:pPr>
      <w:r w:rsidRPr="00394E20">
        <w:rPr>
          <w:rFonts w:ascii="Arial Narrow" w:hAnsi="Arial Narrow" w:cstheme="minorHAnsi"/>
          <w:sz w:val="22"/>
          <w:szCs w:val="22"/>
        </w:rPr>
        <w:t>Mold and/or moisture</w:t>
      </w:r>
    </w:p>
    <w:p w14:paraId="1A04E6D9" w14:textId="74C545BC" w:rsidR="00E143AD" w:rsidRPr="00394E20" w:rsidRDefault="00E143AD" w:rsidP="00EE5F51">
      <w:pPr>
        <w:pStyle w:val="Default"/>
        <w:numPr>
          <w:ilvl w:val="3"/>
          <w:numId w:val="8"/>
        </w:numPr>
        <w:rPr>
          <w:rFonts w:ascii="Arial Narrow" w:hAnsi="Arial Narrow" w:cstheme="minorHAnsi"/>
          <w:sz w:val="22"/>
          <w:szCs w:val="22"/>
        </w:rPr>
      </w:pPr>
      <w:r w:rsidRPr="00394E20">
        <w:rPr>
          <w:rFonts w:ascii="Arial Narrow" w:hAnsi="Arial Narrow" w:cstheme="minorHAnsi"/>
          <w:sz w:val="22"/>
          <w:szCs w:val="22"/>
        </w:rPr>
        <w:t>Other cleanup or remediation</w:t>
      </w:r>
    </w:p>
    <w:p w14:paraId="4560B247" w14:textId="353E6744" w:rsidR="006374C7" w:rsidRPr="00394E20" w:rsidRDefault="006374C7" w:rsidP="00790664">
      <w:pPr>
        <w:pStyle w:val="Default"/>
        <w:numPr>
          <w:ilvl w:val="1"/>
          <w:numId w:val="8"/>
        </w:numPr>
        <w:rPr>
          <w:rFonts w:ascii="Arial Narrow" w:hAnsi="Arial Narrow" w:cstheme="minorHAnsi"/>
          <w:sz w:val="22"/>
          <w:szCs w:val="22"/>
        </w:rPr>
      </w:pPr>
      <w:r w:rsidRPr="00394E20">
        <w:rPr>
          <w:rFonts w:ascii="Arial Narrow" w:hAnsi="Arial Narrow" w:cstheme="minorHAnsi"/>
          <w:sz w:val="22"/>
          <w:szCs w:val="22"/>
        </w:rPr>
        <w:t>DOE WRF expenditure per unit</w:t>
      </w:r>
    </w:p>
    <w:p w14:paraId="5DC273FD" w14:textId="7D5C94A9" w:rsidR="000E6E3D" w:rsidRPr="00394E20" w:rsidRDefault="00896785" w:rsidP="009D3681">
      <w:pPr>
        <w:pStyle w:val="Default"/>
        <w:numPr>
          <w:ilvl w:val="1"/>
          <w:numId w:val="8"/>
        </w:numPr>
        <w:rPr>
          <w:rFonts w:ascii="Arial Narrow" w:hAnsi="Arial Narrow" w:cstheme="minorHAnsi"/>
          <w:sz w:val="22"/>
          <w:szCs w:val="22"/>
        </w:rPr>
      </w:pPr>
      <w:r w:rsidRPr="00394E20">
        <w:rPr>
          <w:rFonts w:ascii="Arial Narrow" w:hAnsi="Arial Narrow" w:cstheme="minorHAnsi"/>
          <w:sz w:val="22"/>
          <w:szCs w:val="22"/>
        </w:rPr>
        <w:t xml:space="preserve">Braided </w:t>
      </w:r>
      <w:r w:rsidR="006374C7" w:rsidRPr="00394E20">
        <w:rPr>
          <w:rFonts w:ascii="Arial Narrow" w:hAnsi="Arial Narrow" w:cstheme="minorHAnsi"/>
          <w:sz w:val="22"/>
          <w:szCs w:val="22"/>
        </w:rPr>
        <w:t xml:space="preserve">fund expenditure per unit (i.e., funds such as LIHEAP, HUD, non-federal, etc. </w:t>
      </w:r>
      <w:r w:rsidR="00A25CC6" w:rsidRPr="00394E20">
        <w:rPr>
          <w:rFonts w:ascii="Arial Narrow" w:hAnsi="Arial Narrow" w:cstheme="minorHAnsi"/>
          <w:sz w:val="22"/>
          <w:szCs w:val="22"/>
        </w:rPr>
        <w:t xml:space="preserve">used in conjunction with </w:t>
      </w:r>
      <w:r w:rsidR="006374C7" w:rsidRPr="00394E20">
        <w:rPr>
          <w:rFonts w:ascii="Arial Narrow" w:hAnsi="Arial Narrow" w:cstheme="minorHAnsi"/>
          <w:sz w:val="22"/>
          <w:szCs w:val="22"/>
        </w:rPr>
        <w:t xml:space="preserve">DOE WRF to make </w:t>
      </w:r>
      <w:r w:rsidR="00A25CC6" w:rsidRPr="00394E20">
        <w:rPr>
          <w:rFonts w:ascii="Arial Narrow" w:hAnsi="Arial Narrow" w:cstheme="minorHAnsi"/>
          <w:sz w:val="22"/>
          <w:szCs w:val="22"/>
        </w:rPr>
        <w:t xml:space="preserve">a unit </w:t>
      </w:r>
      <w:r w:rsidR="006374C7" w:rsidRPr="00394E20">
        <w:rPr>
          <w:rFonts w:ascii="Arial Narrow" w:hAnsi="Arial Narrow" w:cstheme="minorHAnsi"/>
          <w:sz w:val="22"/>
          <w:szCs w:val="22"/>
        </w:rPr>
        <w:t>weatherization ready)</w:t>
      </w:r>
    </w:p>
    <w:p w14:paraId="0738E5E1" w14:textId="77777777" w:rsidR="00AA031B" w:rsidRPr="00394E20" w:rsidRDefault="00AA031B" w:rsidP="00AA031B">
      <w:pPr>
        <w:pStyle w:val="Default"/>
        <w:ind w:left="720"/>
        <w:rPr>
          <w:rFonts w:ascii="Arial Narrow" w:hAnsi="Arial Narrow" w:cstheme="minorHAnsi"/>
          <w:sz w:val="22"/>
          <w:szCs w:val="22"/>
        </w:rPr>
      </w:pPr>
    </w:p>
    <w:p w14:paraId="63C00CA8" w14:textId="77777777" w:rsidR="00AA031B" w:rsidRPr="00394E20" w:rsidRDefault="00AA031B" w:rsidP="00AA031B">
      <w:pPr>
        <w:pStyle w:val="Default"/>
        <w:ind w:left="720"/>
        <w:rPr>
          <w:rFonts w:ascii="Arial Narrow" w:hAnsi="Arial Narrow" w:cstheme="minorHAnsi"/>
          <w:sz w:val="22"/>
          <w:szCs w:val="22"/>
        </w:rPr>
      </w:pPr>
    </w:p>
    <w:sectPr w:rsidR="00AA031B" w:rsidRPr="00394E20" w:rsidSect="0047173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E447" w14:textId="77777777" w:rsidR="00764125" w:rsidRDefault="00764125" w:rsidP="00660A0E">
      <w:r>
        <w:separator/>
      </w:r>
    </w:p>
  </w:endnote>
  <w:endnote w:type="continuationSeparator" w:id="0">
    <w:p w14:paraId="3FBB348B" w14:textId="77777777" w:rsidR="00764125" w:rsidRDefault="00764125" w:rsidP="0066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8BED" w14:textId="77777777" w:rsidR="00660A0E" w:rsidRDefault="00660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C172" w14:textId="77777777" w:rsidR="00660A0E" w:rsidRDefault="00660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51D9" w14:textId="77777777" w:rsidR="00660A0E" w:rsidRDefault="0066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C1D6" w14:textId="77777777" w:rsidR="00764125" w:rsidRDefault="00764125" w:rsidP="00660A0E">
      <w:r>
        <w:separator/>
      </w:r>
    </w:p>
  </w:footnote>
  <w:footnote w:type="continuationSeparator" w:id="0">
    <w:p w14:paraId="36EF4913" w14:textId="77777777" w:rsidR="00764125" w:rsidRDefault="00764125" w:rsidP="0066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72B8" w14:textId="77777777" w:rsidR="00660A0E" w:rsidRDefault="0066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9AA2" w14:textId="2191D72E" w:rsidR="00660A0E" w:rsidRDefault="00660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1F12" w14:textId="77777777" w:rsidR="00660A0E" w:rsidRDefault="0066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2DB"/>
    <w:multiLevelType w:val="hybridMultilevel"/>
    <w:tmpl w:val="D38C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4D2B"/>
    <w:multiLevelType w:val="hybridMultilevel"/>
    <w:tmpl w:val="FFAA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74D5B"/>
    <w:multiLevelType w:val="multilevel"/>
    <w:tmpl w:val="D7C2AE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87954"/>
    <w:multiLevelType w:val="hybridMultilevel"/>
    <w:tmpl w:val="96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C8"/>
    <w:multiLevelType w:val="hybridMultilevel"/>
    <w:tmpl w:val="8C1C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737DB"/>
    <w:multiLevelType w:val="hybridMultilevel"/>
    <w:tmpl w:val="209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34A02"/>
    <w:multiLevelType w:val="hybridMultilevel"/>
    <w:tmpl w:val="0C8A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F3224"/>
    <w:multiLevelType w:val="hybridMultilevel"/>
    <w:tmpl w:val="7BBE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0A2FBC"/>
    <w:multiLevelType w:val="hybridMultilevel"/>
    <w:tmpl w:val="4EDC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079400">
    <w:abstractNumId w:val="7"/>
  </w:num>
  <w:num w:numId="2" w16cid:durableId="583030266">
    <w:abstractNumId w:val="8"/>
  </w:num>
  <w:num w:numId="3" w16cid:durableId="1196308237">
    <w:abstractNumId w:val="5"/>
  </w:num>
  <w:num w:numId="4" w16cid:durableId="741029327">
    <w:abstractNumId w:val="3"/>
  </w:num>
  <w:num w:numId="5" w16cid:durableId="860051893">
    <w:abstractNumId w:val="1"/>
  </w:num>
  <w:num w:numId="6" w16cid:durableId="374744182">
    <w:abstractNumId w:val="4"/>
  </w:num>
  <w:num w:numId="7" w16cid:durableId="1245528075">
    <w:abstractNumId w:val="0"/>
  </w:num>
  <w:num w:numId="8" w16cid:durableId="969016898">
    <w:abstractNumId w:val="6"/>
  </w:num>
  <w:num w:numId="9" w16cid:durableId="19308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A7"/>
    <w:rsid w:val="0001162F"/>
    <w:rsid w:val="00016F30"/>
    <w:rsid w:val="00051E6F"/>
    <w:rsid w:val="00054351"/>
    <w:rsid w:val="000B6A14"/>
    <w:rsid w:val="000B78D2"/>
    <w:rsid w:val="000E53CE"/>
    <w:rsid w:val="000E6E3D"/>
    <w:rsid w:val="000E74C2"/>
    <w:rsid w:val="001065B4"/>
    <w:rsid w:val="00106DC2"/>
    <w:rsid w:val="001D5916"/>
    <w:rsid w:val="00206B73"/>
    <w:rsid w:val="0025671C"/>
    <w:rsid w:val="00276F06"/>
    <w:rsid w:val="002A6F43"/>
    <w:rsid w:val="002B50AF"/>
    <w:rsid w:val="00334293"/>
    <w:rsid w:val="00372D5A"/>
    <w:rsid w:val="00394E20"/>
    <w:rsid w:val="00396180"/>
    <w:rsid w:val="003C09C6"/>
    <w:rsid w:val="003F0366"/>
    <w:rsid w:val="00404FC8"/>
    <w:rsid w:val="00445354"/>
    <w:rsid w:val="0047173D"/>
    <w:rsid w:val="00487EF2"/>
    <w:rsid w:val="00493A40"/>
    <w:rsid w:val="004C30F3"/>
    <w:rsid w:val="00557792"/>
    <w:rsid w:val="005C2C9A"/>
    <w:rsid w:val="0061516C"/>
    <w:rsid w:val="006374C7"/>
    <w:rsid w:val="00660A0E"/>
    <w:rsid w:val="00674918"/>
    <w:rsid w:val="00674A76"/>
    <w:rsid w:val="006E33F0"/>
    <w:rsid w:val="006F34D1"/>
    <w:rsid w:val="00764125"/>
    <w:rsid w:val="007770D1"/>
    <w:rsid w:val="00780EF8"/>
    <w:rsid w:val="007B6BDA"/>
    <w:rsid w:val="007D17AB"/>
    <w:rsid w:val="00870BDC"/>
    <w:rsid w:val="00893008"/>
    <w:rsid w:val="00896785"/>
    <w:rsid w:val="008C4FFF"/>
    <w:rsid w:val="008F732D"/>
    <w:rsid w:val="00914F6B"/>
    <w:rsid w:val="00923E1F"/>
    <w:rsid w:val="0095233E"/>
    <w:rsid w:val="00965011"/>
    <w:rsid w:val="009853B6"/>
    <w:rsid w:val="0099317D"/>
    <w:rsid w:val="009C5EB0"/>
    <w:rsid w:val="009D1F00"/>
    <w:rsid w:val="009D3681"/>
    <w:rsid w:val="009D4DE5"/>
    <w:rsid w:val="009E0FF7"/>
    <w:rsid w:val="00A25CC6"/>
    <w:rsid w:val="00AA031B"/>
    <w:rsid w:val="00AF72C3"/>
    <w:rsid w:val="00C603A7"/>
    <w:rsid w:val="00CE3DB0"/>
    <w:rsid w:val="00CE499D"/>
    <w:rsid w:val="00D249F5"/>
    <w:rsid w:val="00D50991"/>
    <w:rsid w:val="00D63B84"/>
    <w:rsid w:val="00E143AD"/>
    <w:rsid w:val="00E26BC5"/>
    <w:rsid w:val="00EC4875"/>
    <w:rsid w:val="00EE3A7D"/>
    <w:rsid w:val="00EF70DB"/>
    <w:rsid w:val="00F428CF"/>
    <w:rsid w:val="00F905C3"/>
    <w:rsid w:val="00FA2277"/>
    <w:rsid w:val="00FC5057"/>
    <w:rsid w:val="00FC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2649"/>
  <w15:chartTrackingRefBased/>
  <w15:docId w15:val="{430E7430-329E-4BCF-9262-58224BA4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A7"/>
    <w:pPr>
      <w:ind w:left="720"/>
      <w:contextualSpacing/>
    </w:pPr>
  </w:style>
  <w:style w:type="table" w:styleId="TableGrid">
    <w:name w:val="Table Grid"/>
    <w:basedOn w:val="TableNormal"/>
    <w:uiPriority w:val="39"/>
    <w:rsid w:val="004C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51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0A0E"/>
    <w:pPr>
      <w:tabs>
        <w:tab w:val="center" w:pos="4680"/>
        <w:tab w:val="right" w:pos="9360"/>
      </w:tabs>
    </w:pPr>
  </w:style>
  <w:style w:type="character" w:customStyle="1" w:styleId="HeaderChar">
    <w:name w:val="Header Char"/>
    <w:basedOn w:val="DefaultParagraphFont"/>
    <w:link w:val="Header"/>
    <w:uiPriority w:val="99"/>
    <w:rsid w:val="00660A0E"/>
    <w:rPr>
      <w:rFonts w:ascii="Calibri" w:hAnsi="Calibri" w:cs="Calibri"/>
    </w:rPr>
  </w:style>
  <w:style w:type="paragraph" w:styleId="Footer">
    <w:name w:val="footer"/>
    <w:basedOn w:val="Normal"/>
    <w:link w:val="FooterChar"/>
    <w:uiPriority w:val="99"/>
    <w:unhideWhenUsed/>
    <w:rsid w:val="00660A0E"/>
    <w:pPr>
      <w:tabs>
        <w:tab w:val="center" w:pos="4680"/>
        <w:tab w:val="right" w:pos="9360"/>
      </w:tabs>
    </w:pPr>
  </w:style>
  <w:style w:type="character" w:customStyle="1" w:styleId="FooterChar">
    <w:name w:val="Footer Char"/>
    <w:basedOn w:val="DefaultParagraphFont"/>
    <w:link w:val="Footer"/>
    <w:uiPriority w:val="99"/>
    <w:rsid w:val="00660A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9627">
      <w:bodyDiv w:val="1"/>
      <w:marLeft w:val="0"/>
      <w:marRight w:val="0"/>
      <w:marTop w:val="0"/>
      <w:marBottom w:val="0"/>
      <w:divBdr>
        <w:top w:val="none" w:sz="0" w:space="0" w:color="auto"/>
        <w:left w:val="none" w:sz="0" w:space="0" w:color="auto"/>
        <w:bottom w:val="none" w:sz="0" w:space="0" w:color="auto"/>
        <w:right w:val="none" w:sz="0" w:space="0" w:color="auto"/>
      </w:divBdr>
    </w:div>
    <w:div w:id="799999720">
      <w:bodyDiv w:val="1"/>
      <w:marLeft w:val="0"/>
      <w:marRight w:val="0"/>
      <w:marTop w:val="0"/>
      <w:marBottom w:val="0"/>
      <w:divBdr>
        <w:top w:val="none" w:sz="0" w:space="0" w:color="auto"/>
        <w:left w:val="none" w:sz="0" w:space="0" w:color="auto"/>
        <w:bottom w:val="none" w:sz="0" w:space="0" w:color="auto"/>
        <w:right w:val="none" w:sz="0" w:space="0" w:color="auto"/>
      </w:divBdr>
    </w:div>
    <w:div w:id="882014041">
      <w:bodyDiv w:val="1"/>
      <w:marLeft w:val="0"/>
      <w:marRight w:val="0"/>
      <w:marTop w:val="0"/>
      <w:marBottom w:val="0"/>
      <w:divBdr>
        <w:top w:val="none" w:sz="0" w:space="0" w:color="auto"/>
        <w:left w:val="none" w:sz="0" w:space="0" w:color="auto"/>
        <w:bottom w:val="none" w:sz="0" w:space="0" w:color="auto"/>
        <w:right w:val="none" w:sz="0" w:space="0" w:color="auto"/>
      </w:divBdr>
    </w:div>
    <w:div w:id="20672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Burbage</dc:creator>
  <cp:keywords/>
  <dc:description/>
  <cp:lastModifiedBy>Susan Wood</cp:lastModifiedBy>
  <cp:revision>36</cp:revision>
  <dcterms:created xsi:type="dcterms:W3CDTF">2022-05-02T14:51:00Z</dcterms:created>
  <dcterms:modified xsi:type="dcterms:W3CDTF">2022-08-01T14:36:00Z</dcterms:modified>
</cp:coreProperties>
</file>