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20A2" w14:textId="3A5E3311" w:rsidR="0089281C" w:rsidRDefault="004F7F46" w:rsidP="004F7F46">
      <w:pPr>
        <w:pStyle w:val="Heading1"/>
      </w:pPr>
      <w:r>
        <w:t>Arizona Weatherization Readiness Plan</w:t>
      </w:r>
    </w:p>
    <w:p w14:paraId="64F10FE4" w14:textId="77777777" w:rsidR="004F7F46" w:rsidRDefault="004F7F46" w:rsidP="004F7F46">
      <w:r>
        <w:rPr>
          <w:b/>
          <w:bCs/>
          <w:i/>
          <w:iCs/>
        </w:rPr>
        <w:t>Weatherization Readiness Funds WPN 22-6 (WRF)</w:t>
      </w:r>
      <w:r>
        <w:rPr>
          <w:i/>
          <w:iCs/>
        </w:rPr>
        <w:br/>
        <w:t>Through this WRF set-aside fund, WAP can address necessary repairs (e.g., Health and Safety issues, structural) in dwellings that have been deferred from receiving weatherization services. Deferrals occur in WAP for two key reasons, regulatory (10 CFR 440) limitations and/or management decisions at the state and local levels. Regardless of the cause, deferrals create “sunk costs” – the cost of sending field staff out to evaluate a home that cannot ultimately be treated because the Program is unable to address the repairs of the building.</w:t>
      </w:r>
      <w:r>
        <w:rPr>
          <w:i/>
          <w:iCs/>
        </w:rPr>
        <w:br/>
        <w:t>WRF are designated for use by Grantees in addressing structural and health and safety issues of homes that are currently in the queue to be weatherized, but at risk of deferral. This funding is specifically targeted to reduce the frequency of deferred homes that require other services, outside the scope of weatherization, before the weatherization services can commence. Units receiving WRF must result in a DOE completion defined as, “A dwelling on which a DOE-approved energy audit or priority list has been applied and weatherization work has been completed.” WRF funds are specific to the annual appropriation funding and must be expended on units weatherized within the formula PY 2022 grant by the WAP Sub-grantees identified in the State Plan application.</w:t>
      </w:r>
    </w:p>
    <w:p w14:paraId="0EFB7B6B" w14:textId="77777777" w:rsidR="004F7F46" w:rsidRDefault="004F7F46" w:rsidP="004F7F46">
      <w:r>
        <w:rPr>
          <w:i/>
          <w:iCs/>
        </w:rPr>
        <w:br/>
        <w:t>WRF (measures and admin) will be tracked separately from other DOE funding, will not be subject to the DOE ACPU or H&amp;S totals, cannot be used on a DOE BIL project, and shall have a cap of $4000/residence. A waiver must be submitted to ADOH and approved prior to project commencement. Allowable measures may include but are not limited to the following:</w:t>
      </w:r>
      <w:r>
        <w:rPr>
          <w:i/>
          <w:iCs/>
        </w:rPr>
        <w:br/>
        <w:t>• Roof repair</w:t>
      </w:r>
      <w:r>
        <w:rPr>
          <w:i/>
          <w:iCs/>
        </w:rPr>
        <w:br/>
        <w:t>• Wall repair (interior or exterior)</w:t>
      </w:r>
      <w:r>
        <w:rPr>
          <w:i/>
          <w:iCs/>
        </w:rPr>
        <w:br/>
        <w:t>• Ceiling repair</w:t>
      </w:r>
      <w:r>
        <w:rPr>
          <w:i/>
          <w:iCs/>
        </w:rPr>
        <w:br/>
        <w:t>• Floor repair</w:t>
      </w:r>
      <w:r>
        <w:rPr>
          <w:i/>
          <w:iCs/>
        </w:rPr>
        <w:br/>
        <w:t>• Foundation or subspace repair</w:t>
      </w:r>
      <w:r>
        <w:rPr>
          <w:i/>
          <w:iCs/>
        </w:rPr>
        <w:br w:type="textWrapping" w:clear="all"/>
      </w:r>
    </w:p>
    <w:p w14:paraId="60BA6653" w14:textId="77777777" w:rsidR="004F7F46" w:rsidRDefault="004F7F46" w:rsidP="004F7F46">
      <w:r>
        <w:rPr>
          <w:i/>
          <w:iCs/>
        </w:rPr>
        <w:t>• Exterior drainage repairs (e.g., landscaping or gutters)</w:t>
      </w:r>
      <w:r>
        <w:rPr>
          <w:i/>
          <w:iCs/>
        </w:rPr>
        <w:br/>
        <w:t>• Plumbing repairs</w:t>
      </w:r>
      <w:r>
        <w:rPr>
          <w:i/>
          <w:iCs/>
        </w:rPr>
        <w:br/>
        <w:t>• Electrical repair</w:t>
      </w:r>
      <w:r>
        <w:rPr>
          <w:i/>
          <w:iCs/>
        </w:rPr>
        <w:br/>
        <w:t>• Clean-up or remediation beyond typical scope of WAP preventing WAP work</w:t>
      </w:r>
    </w:p>
    <w:p w14:paraId="69F46FAB" w14:textId="77777777" w:rsidR="004F7F46" w:rsidRDefault="004F7F46" w:rsidP="004F7F46">
      <w:r>
        <w:rPr>
          <w:i/>
          <w:iCs/>
        </w:rPr>
        <w:br/>
        <w:t xml:space="preserve">Other items may be allowable on a </w:t>
      </w:r>
      <w:proofErr w:type="gramStart"/>
      <w:r>
        <w:rPr>
          <w:i/>
          <w:iCs/>
        </w:rPr>
        <w:t>case by case</w:t>
      </w:r>
      <w:proofErr w:type="gramEnd"/>
      <w:r>
        <w:rPr>
          <w:i/>
          <w:iCs/>
        </w:rPr>
        <w:t xml:space="preserve"> basis depending on the severity of the hazard and keeping the $4000/residence cap in mind.</w:t>
      </w:r>
    </w:p>
    <w:p w14:paraId="4AD9D3D7" w14:textId="77777777" w:rsidR="004F7F46" w:rsidRPr="004F7F46" w:rsidRDefault="004F7F46" w:rsidP="004F7F46"/>
    <w:sectPr w:rsidR="004F7F46" w:rsidRPr="004F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46"/>
    <w:rsid w:val="004F7F46"/>
    <w:rsid w:val="0089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35F4"/>
  <w15:chartTrackingRefBased/>
  <w15:docId w15:val="{45D82D5E-7CF0-47DD-8EA3-EDA0D741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Ballew</dc:creator>
  <cp:keywords/>
  <dc:description/>
  <cp:lastModifiedBy>Jonathan Ballew</cp:lastModifiedBy>
  <cp:revision>1</cp:revision>
  <dcterms:created xsi:type="dcterms:W3CDTF">2022-06-15T12:13:00Z</dcterms:created>
  <dcterms:modified xsi:type="dcterms:W3CDTF">2022-06-15T12:14:00Z</dcterms:modified>
</cp:coreProperties>
</file>