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4989" w14:textId="77777777" w:rsidR="001B0763" w:rsidRDefault="001B0763" w:rsidP="001B0763">
      <w:pPr>
        <w:jc w:val="center"/>
      </w:pPr>
    </w:p>
    <w:p w14:paraId="4313EAA6" w14:textId="364AAAEF" w:rsidR="001B0763" w:rsidRPr="001B0763" w:rsidRDefault="008559D5" w:rsidP="001B0763">
      <w:pPr>
        <w:jc w:val="center"/>
        <w:rPr>
          <w:b/>
          <w:sz w:val="22"/>
        </w:rPr>
      </w:pPr>
      <w:r>
        <w:rPr>
          <w:b/>
          <w:sz w:val="22"/>
        </w:rPr>
        <w:t>NASCSP Racial</w:t>
      </w:r>
      <w:r w:rsidR="001B0763" w:rsidRPr="001B0763">
        <w:rPr>
          <w:b/>
          <w:sz w:val="22"/>
        </w:rPr>
        <w:t xml:space="preserve"> Equity </w:t>
      </w:r>
      <w:r>
        <w:rPr>
          <w:b/>
          <w:sz w:val="22"/>
        </w:rPr>
        <w:t>Group</w:t>
      </w:r>
      <w:r w:rsidR="001B0763" w:rsidRPr="001B0763">
        <w:rPr>
          <w:b/>
          <w:sz w:val="22"/>
        </w:rPr>
        <w:t xml:space="preserve"> Charter</w:t>
      </w:r>
    </w:p>
    <w:p w14:paraId="030D288B" w14:textId="65B4D8AD" w:rsidR="001B0763" w:rsidRDefault="001B0763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17"/>
        <w:gridCol w:w="7767"/>
      </w:tblGrid>
      <w:tr w:rsidR="00953F93" w:rsidRPr="00837A9F" w14:paraId="238F062A" w14:textId="77777777" w:rsidTr="002B11F6">
        <w:trPr>
          <w:cantSplit/>
          <w:jc w:val="center"/>
        </w:trPr>
        <w:tc>
          <w:tcPr>
            <w:tcW w:w="1399" w:type="pct"/>
            <w:shd w:val="pct15" w:color="auto" w:fill="FFFFFF"/>
          </w:tcPr>
          <w:p w14:paraId="457799AA" w14:textId="221091D0" w:rsidR="00953F93" w:rsidRPr="00837A9F" w:rsidRDefault="008559D5" w:rsidP="002B11F6">
            <w:pPr>
              <w:pStyle w:val="Header"/>
              <w:widowControl w:val="0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Group</w:t>
            </w:r>
            <w:r w:rsidR="00953F93" w:rsidRPr="00837A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Name:</w:t>
            </w:r>
          </w:p>
        </w:tc>
        <w:tc>
          <w:tcPr>
            <w:tcW w:w="3601" w:type="pct"/>
          </w:tcPr>
          <w:p w14:paraId="184ED6B1" w14:textId="5E870D9E" w:rsidR="00953F93" w:rsidRPr="00837A9F" w:rsidRDefault="008559D5" w:rsidP="002B11F6">
            <w:pPr>
              <w:pStyle w:val="CovFormText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sz w:val="22"/>
              </w:rPr>
              <w:t>NASCSP Racial</w:t>
            </w:r>
            <w:r w:rsidRPr="001B0763">
              <w:rPr>
                <w:b/>
                <w:sz w:val="22"/>
              </w:rPr>
              <w:t xml:space="preserve"> Equity </w:t>
            </w:r>
            <w:r>
              <w:rPr>
                <w:b/>
                <w:sz w:val="22"/>
              </w:rPr>
              <w:t>Work Group (REWG)</w:t>
            </w:r>
          </w:p>
        </w:tc>
      </w:tr>
    </w:tbl>
    <w:p w14:paraId="65E96293" w14:textId="77777777" w:rsidR="00953F93" w:rsidRDefault="00953F93"/>
    <w:p w14:paraId="62015942" w14:textId="77777777" w:rsidR="001B0763" w:rsidRPr="00837A9F" w:rsidRDefault="001B0763" w:rsidP="001B0763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969" w:type="dxa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8100"/>
      </w:tblGrid>
      <w:tr w:rsidR="001B0763" w:rsidRPr="00837A9F" w14:paraId="67CBE5D4" w14:textId="77777777" w:rsidTr="0EDB259B">
        <w:trPr>
          <w:cantSplit/>
          <w:tblHeader/>
          <w:jc w:val="center"/>
        </w:trPr>
        <w:tc>
          <w:tcPr>
            <w:tcW w:w="10969" w:type="dxa"/>
            <w:gridSpan w:val="2"/>
            <w:tcBorders>
              <w:top w:val="single" w:sz="6" w:space="0" w:color="auto"/>
            </w:tcBorders>
            <w:shd w:val="clear" w:color="auto" w:fill="002060"/>
          </w:tcPr>
          <w:p w14:paraId="2F764899" w14:textId="55B799C5" w:rsidR="001B0763" w:rsidRPr="00837A9F" w:rsidRDefault="008559D5" w:rsidP="00C50BC7">
            <w:pPr>
              <w:pStyle w:val="Heading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Equity Group</w:t>
            </w:r>
            <w:r w:rsidR="0013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33D">
              <w:rPr>
                <w:rFonts w:ascii="Times New Roman" w:hAnsi="Times New Roman" w:cs="Times New Roman"/>
                <w:sz w:val="24"/>
                <w:szCs w:val="24"/>
              </w:rPr>
              <w:t>Roles and Responsibilities</w:t>
            </w:r>
          </w:p>
        </w:tc>
      </w:tr>
      <w:tr w:rsidR="00532A6F" w:rsidRPr="00837A9F" w14:paraId="74F07BD4" w14:textId="77777777" w:rsidTr="0EDB2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47A55" w14:textId="025A9C50" w:rsidR="00532A6F" w:rsidRPr="00837A9F" w:rsidRDefault="000141A4" w:rsidP="00C50BC7">
            <w:pPr>
              <w:pStyle w:val="BodyText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F262" w14:textId="73F2F9D9" w:rsidR="00532A6F" w:rsidRPr="00AF6801" w:rsidRDefault="0EDB259B" w:rsidP="0EDB259B">
            <w:pPr>
              <w:shd w:val="clear" w:color="auto" w:fill="FEFEFE"/>
              <w:spacing w:before="100" w:beforeAutospacing="1" w:after="150" w:afterAutospacing="1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EDB25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The Racial Equity Work Group will be a catalyst for change by increasing our focus on the root causes of inequitable practices and policies that are embedded in the United States. </w:t>
            </w:r>
            <w:r w:rsidR="00050948" w:rsidRPr="0EDB25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The mission of this group is to increase understanding </w:t>
            </w:r>
            <w:r w:rsidR="008F4C57" w:rsidRPr="008F4C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and develop resources that impart strategies on informing the Network </w:t>
            </w:r>
            <w:r w:rsidR="00050948" w:rsidRPr="0EDB25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of racism in our work, train and empower members to recognize and dismantle racism, and build a network that is equitable and inclusive in practice and policy. </w:t>
            </w:r>
            <w:r w:rsidRPr="0EDB25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Group members will support NASCSP’s efforts to intentionally embed a racial equity lens in policies, programs, and practices in our work and within </w:t>
            </w:r>
            <w:r w:rsidR="00050948">
              <w:rPr>
                <w:rFonts w:ascii="Times New Roman" w:hAnsi="Times New Roman" w:cs="Times New Roman"/>
                <w:noProof/>
                <w:sz w:val="24"/>
                <w:szCs w:val="24"/>
              </w:rPr>
              <w:t>the entire WAP and CSBG network.</w:t>
            </w:r>
          </w:p>
        </w:tc>
      </w:tr>
      <w:tr w:rsidR="007E3AC3" w:rsidRPr="00837A9F" w14:paraId="40590DC1" w14:textId="77777777" w:rsidTr="0EDB2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98FE4" w14:textId="6F42F429" w:rsidR="007E3AC3" w:rsidRPr="008559D5" w:rsidRDefault="000141A4" w:rsidP="00C50BC7">
            <w:pPr>
              <w:pStyle w:val="BodyText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9A7" w14:textId="086DE6E0" w:rsidR="00156397" w:rsidRPr="00532A6F" w:rsidRDefault="0EDB259B" w:rsidP="0EDB259B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EDB25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The National Association of State Community Services Programs (NASCSP) believes in a world that is inclusive in approach and where equal opportunities and equitable outcomes exist for all. NASCSP is committed to developing and supporting a diverse, equitable, and inclusive community. </w:t>
            </w:r>
          </w:p>
        </w:tc>
      </w:tr>
      <w:tr w:rsidR="001B0763" w:rsidRPr="00837A9F" w14:paraId="1F76E80A" w14:textId="77777777" w:rsidTr="0EDB2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CE477" w14:textId="34397448" w:rsidR="001B0763" w:rsidRPr="00837A9F" w:rsidRDefault="00DB7A81" w:rsidP="00C50BC7">
            <w:pPr>
              <w:pStyle w:val="BodyText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Scope of Work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EC1" w14:textId="1423ADB7" w:rsidR="001B0763" w:rsidRDefault="001B0763" w:rsidP="00C50BC7">
            <w:pPr>
              <w:pStyle w:val="CovFormText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6801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8559D5">
              <w:rPr>
                <w:rFonts w:ascii="Times New Roman" w:hAnsi="Times New Roman"/>
                <w:sz w:val="24"/>
                <w:szCs w:val="24"/>
              </w:rPr>
              <w:t>Work Group</w:t>
            </w:r>
            <w:r w:rsidRPr="00AF6801">
              <w:rPr>
                <w:rFonts w:ascii="Times New Roman" w:hAnsi="Times New Roman"/>
                <w:sz w:val="24"/>
                <w:szCs w:val="24"/>
              </w:rPr>
              <w:t xml:space="preserve"> consists of </w:t>
            </w:r>
            <w:r w:rsidR="008559D5">
              <w:rPr>
                <w:rFonts w:ascii="Times New Roman" w:hAnsi="Times New Roman"/>
                <w:sz w:val="24"/>
                <w:szCs w:val="24"/>
              </w:rPr>
              <w:t>state administrators of the CSBG and WAP programs</w:t>
            </w:r>
            <w:r w:rsidRPr="00AF6801">
              <w:rPr>
                <w:rFonts w:ascii="Times New Roman" w:hAnsi="Times New Roman"/>
                <w:sz w:val="24"/>
                <w:szCs w:val="24"/>
              </w:rPr>
              <w:t xml:space="preserve"> from multiple </w:t>
            </w:r>
            <w:r w:rsidR="008559D5">
              <w:rPr>
                <w:rFonts w:ascii="Times New Roman" w:hAnsi="Times New Roman"/>
                <w:sz w:val="24"/>
                <w:szCs w:val="24"/>
              </w:rPr>
              <w:t>states and NASCSP staff</w:t>
            </w:r>
            <w:r w:rsidRPr="00AF6801">
              <w:rPr>
                <w:rFonts w:ascii="Times New Roman" w:hAnsi="Times New Roman"/>
                <w:sz w:val="24"/>
                <w:szCs w:val="24"/>
              </w:rPr>
              <w:t xml:space="preserve">. The </w:t>
            </w:r>
            <w:r w:rsidR="008559D5">
              <w:rPr>
                <w:rFonts w:ascii="Times New Roman" w:hAnsi="Times New Roman"/>
                <w:sz w:val="24"/>
                <w:szCs w:val="24"/>
              </w:rPr>
              <w:t>group</w:t>
            </w:r>
            <w:r w:rsidRPr="00AF6801">
              <w:rPr>
                <w:rFonts w:ascii="Times New Roman" w:hAnsi="Times New Roman"/>
                <w:sz w:val="24"/>
                <w:szCs w:val="24"/>
              </w:rPr>
              <w:t xml:space="preserve"> is chartered to help </w:t>
            </w:r>
            <w:r w:rsidR="0071599D">
              <w:rPr>
                <w:rFonts w:ascii="Times New Roman" w:hAnsi="Times New Roman"/>
                <w:sz w:val="24"/>
                <w:szCs w:val="24"/>
              </w:rPr>
              <w:t xml:space="preserve">design and facilitate </w:t>
            </w:r>
            <w:r w:rsidR="008559D5">
              <w:rPr>
                <w:rFonts w:ascii="Times New Roman" w:hAnsi="Times New Roman"/>
                <w:sz w:val="24"/>
                <w:szCs w:val="24"/>
              </w:rPr>
              <w:t>resources</w:t>
            </w:r>
            <w:r w:rsidR="0071599D">
              <w:rPr>
                <w:rFonts w:ascii="Times New Roman" w:hAnsi="Times New Roman"/>
                <w:sz w:val="24"/>
                <w:szCs w:val="24"/>
              </w:rPr>
              <w:t xml:space="preserve"> for ensuring equitable practices </w:t>
            </w:r>
            <w:r w:rsidR="008559D5">
              <w:rPr>
                <w:rFonts w:ascii="Times New Roman" w:hAnsi="Times New Roman"/>
                <w:sz w:val="24"/>
                <w:szCs w:val="24"/>
              </w:rPr>
              <w:t xml:space="preserve">within </w:t>
            </w:r>
            <w:r w:rsidR="00074B9D">
              <w:rPr>
                <w:rFonts w:ascii="Times New Roman" w:hAnsi="Times New Roman"/>
                <w:sz w:val="24"/>
                <w:szCs w:val="24"/>
              </w:rPr>
              <w:t xml:space="preserve">NASCSP and </w:t>
            </w:r>
            <w:r w:rsidR="008559D5">
              <w:rPr>
                <w:rFonts w:ascii="Times New Roman" w:hAnsi="Times New Roman"/>
                <w:sz w:val="24"/>
                <w:szCs w:val="24"/>
              </w:rPr>
              <w:t>the CSBG and WAP networks</w:t>
            </w:r>
            <w:r w:rsidR="007159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89F0698" w14:textId="77777777" w:rsidR="00074B9D" w:rsidRPr="00AF6801" w:rsidRDefault="00074B9D" w:rsidP="00C50BC7">
            <w:pPr>
              <w:pStyle w:val="CovFormText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59C2B06B" w14:textId="704D1613" w:rsidR="00DF095F" w:rsidRPr="00AF6801" w:rsidRDefault="001B0763" w:rsidP="00C5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559D5">
              <w:rPr>
                <w:rFonts w:ascii="Times New Roman" w:hAnsi="Times New Roman" w:cs="Times New Roman"/>
                <w:sz w:val="24"/>
                <w:szCs w:val="24"/>
              </w:rPr>
              <w:t>Work Group</w:t>
            </w: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is/serves as</w:t>
            </w: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42780A" w14:textId="23D96C44" w:rsidR="001B0763" w:rsidRDefault="008559D5" w:rsidP="001B07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0763"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 resource for </w:t>
            </w:r>
            <w:r w:rsidR="00AF31BD" w:rsidRPr="00AF31BD">
              <w:rPr>
                <w:rFonts w:ascii="Times New Roman" w:hAnsi="Times New Roman" w:cs="Times New Roman"/>
                <w:sz w:val="24"/>
                <w:szCs w:val="24"/>
              </w:rPr>
              <w:t xml:space="preserve">understanding and </w:t>
            </w:r>
            <w:r w:rsidR="00B86291">
              <w:rPr>
                <w:rFonts w:ascii="Times New Roman" w:hAnsi="Times New Roman" w:cs="Times New Roman"/>
                <w:sz w:val="24"/>
                <w:szCs w:val="24"/>
              </w:rPr>
              <w:t>resolving</w:t>
            </w:r>
            <w:r w:rsidR="001B0763"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 issues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racial </w:t>
            </w:r>
            <w:r w:rsidR="001B0763"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equity and </w:t>
            </w:r>
            <w:proofErr w:type="gramStart"/>
            <w:r w:rsidR="001B0763" w:rsidRPr="00AF6801">
              <w:rPr>
                <w:rFonts w:ascii="Times New Roman" w:hAnsi="Times New Roman" w:cs="Times New Roman"/>
                <w:sz w:val="24"/>
                <w:szCs w:val="24"/>
              </w:rPr>
              <w:t>inclusion</w:t>
            </w:r>
            <w:proofErr w:type="gramEnd"/>
          </w:p>
          <w:p w14:paraId="671B3276" w14:textId="482A5D3A" w:rsidR="008249BF" w:rsidRPr="008249BF" w:rsidRDefault="008249BF" w:rsidP="008249B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Primarily focused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increasing</w:t>
            </w: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 equity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the state level</w:t>
            </w: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in the CSBG and WAP networks</w:t>
            </w:r>
          </w:p>
          <w:p w14:paraId="6A03F5E4" w14:textId="1827E517" w:rsidR="001B0763" w:rsidRPr="00AF6801" w:rsidRDefault="001B0763" w:rsidP="001B07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Consultative body for </w:t>
            </w:r>
            <w:r w:rsidR="008559D5">
              <w:rPr>
                <w:rFonts w:ascii="Times New Roman" w:hAnsi="Times New Roman" w:cs="Times New Roman"/>
                <w:sz w:val="24"/>
                <w:szCs w:val="24"/>
              </w:rPr>
              <w:t xml:space="preserve">equity </w:t>
            </w: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>projects, programs</w:t>
            </w:r>
            <w:r w:rsidR="00255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 and policies </w:t>
            </w:r>
            <w:r w:rsidR="00DF095F">
              <w:rPr>
                <w:rFonts w:ascii="Times New Roman" w:hAnsi="Times New Roman" w:cs="Times New Roman"/>
                <w:sz w:val="24"/>
                <w:szCs w:val="24"/>
              </w:rPr>
              <w:t>at the local, state, and federal levels</w:t>
            </w:r>
          </w:p>
          <w:p w14:paraId="34FD1900" w14:textId="1B52993E" w:rsidR="001B0763" w:rsidRPr="00AF6801" w:rsidRDefault="001B0763" w:rsidP="001B07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Helping identify and facilitate </w:t>
            </w:r>
            <w:r w:rsidR="008559D5">
              <w:rPr>
                <w:rFonts w:ascii="Times New Roman" w:hAnsi="Times New Roman" w:cs="Times New Roman"/>
                <w:sz w:val="24"/>
                <w:szCs w:val="24"/>
              </w:rPr>
              <w:t xml:space="preserve">racial </w:t>
            </w: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>equity trainings (inc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luding</w:t>
            </w:r>
            <w:r w:rsidRPr="00AF6801">
              <w:rPr>
                <w:rFonts w:ascii="Times New Roman" w:hAnsi="Times New Roman" w:cs="Times New Roman"/>
                <w:sz w:val="24"/>
                <w:szCs w:val="24"/>
              </w:rPr>
              <w:t xml:space="preserve"> identifying gaps in training that are needed)</w:t>
            </w:r>
          </w:p>
          <w:p w14:paraId="66567FEF" w14:textId="16FDDE13" w:rsidR="001B0763" w:rsidRPr="00DF095F" w:rsidRDefault="001B0763" w:rsidP="00DF095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63" w:rsidRPr="00837A9F" w14:paraId="4838574B" w14:textId="77777777" w:rsidTr="0EDB2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096E9" w14:textId="76A03507" w:rsidR="001B0763" w:rsidRPr="00837A9F" w:rsidRDefault="00DB7A81" w:rsidP="00C50BC7">
            <w:pPr>
              <w:pStyle w:val="BodyText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Stakeholders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2DE" w14:textId="4DB010E7" w:rsidR="001B0763" w:rsidRPr="00837A9F" w:rsidRDefault="00074B9D" w:rsidP="00C50BC7">
            <w:pPr>
              <w:pStyle w:val="CovFormText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4B9D">
              <w:rPr>
                <w:rFonts w:ascii="Times New Roman" w:hAnsi="Times New Roman"/>
                <w:sz w:val="24"/>
                <w:szCs w:val="24"/>
              </w:rPr>
              <w:t>NASCSP, State offices (CSBG and WAP)</w:t>
            </w:r>
            <w:r w:rsidR="00DF095F">
              <w:rPr>
                <w:rFonts w:ascii="Times New Roman" w:hAnsi="Times New Roman"/>
                <w:sz w:val="24"/>
                <w:szCs w:val="24"/>
              </w:rPr>
              <w:t>, Federal Partners (DOE and HHS)</w:t>
            </w:r>
          </w:p>
        </w:tc>
      </w:tr>
      <w:tr w:rsidR="001B0763" w:rsidRPr="00837A9F" w14:paraId="6F99D82F" w14:textId="77777777" w:rsidTr="0EDB2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AC83F" w14:textId="042392B2" w:rsidR="001B0763" w:rsidRPr="00837A9F" w:rsidRDefault="006B4658" w:rsidP="00C50BC7">
            <w:pPr>
              <w:pStyle w:val="BodyText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D59D" w14:textId="77777777" w:rsidR="00DF095F" w:rsidRDefault="00DF095F" w:rsidP="00A33A3E">
            <w:pPr>
              <w:pStyle w:val="CovFormText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Development of tools to assist in establishing an equity framework that helps direct the analysis work.</w:t>
            </w:r>
          </w:p>
          <w:p w14:paraId="67FB9E07" w14:textId="67382AF5" w:rsidR="00A33A3E" w:rsidRPr="006B4658" w:rsidRDefault="0EDB259B" w:rsidP="00A33A3E">
            <w:pPr>
              <w:pStyle w:val="CovFormText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EDB2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Review of programs, policies, practices with an equity lens analysis</w:t>
            </w:r>
            <w:r w:rsidR="00050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provide options to achieve best practices</w:t>
            </w:r>
            <w:r w:rsidRPr="0EDB2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0D0E11F" w14:textId="5D692994" w:rsidR="001B0763" w:rsidRPr="006B4658" w:rsidRDefault="00050948" w:rsidP="00C50BC7">
            <w:pPr>
              <w:pStyle w:val="CovFormText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Provide equity education opportunities.</w:t>
            </w:r>
          </w:p>
          <w:p w14:paraId="427D8F06" w14:textId="4D8C56AE" w:rsidR="001B0763" w:rsidRDefault="00050948" w:rsidP="006B5DD2">
            <w:pPr>
              <w:pStyle w:val="CovFormText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Establish</w:t>
            </w:r>
            <w:r w:rsidR="0EDB259B" w:rsidRPr="0EDB2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subcommittee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EDB259B" w:rsidRPr="0EDB2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50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 execute priorities that fulfill the mission of the group</w:t>
            </w:r>
            <w:r w:rsidR="0EDB259B" w:rsidRPr="0EDB25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BE63B50" w14:textId="66B196C4" w:rsidR="00DF095F" w:rsidRDefault="00DF095F" w:rsidP="006B5DD2">
            <w:pPr>
              <w:pStyle w:val="CovFormText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Serve as an advisory group for NASC</w:t>
            </w:r>
            <w:r w:rsidR="00943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P’s advocacy efforts</w:t>
            </w:r>
          </w:p>
          <w:p w14:paraId="03ECDE80" w14:textId="7C936044" w:rsidR="00DF095F" w:rsidRPr="006B4658" w:rsidRDefault="00DF095F" w:rsidP="006B5DD2">
            <w:pPr>
              <w:pStyle w:val="CovFormText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Serve as an advisory group to Federal Partners on </w:t>
            </w:r>
            <w:r w:rsidR="00541E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issues of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racial equity</w:t>
            </w:r>
          </w:p>
          <w:p w14:paraId="0B2D9AD7" w14:textId="614BA4C5" w:rsidR="00F73438" w:rsidRPr="00837A9F" w:rsidRDefault="00F73438" w:rsidP="00F73438">
            <w:pPr>
              <w:pStyle w:val="CovFormText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050948" w:rsidRPr="000509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Please </w:t>
            </w:r>
            <w:r w:rsidRPr="00050948">
              <w:rPr>
                <w:rFonts w:ascii="Times New Roman" w:hAnsi="Times New Roman"/>
                <w:i/>
                <w:iCs/>
                <w:sz w:val="24"/>
                <w:szCs w:val="24"/>
              </w:rPr>
              <w:t>refer to relevant project document</w:t>
            </w:r>
            <w:r w:rsidR="00050948" w:rsidRPr="00050948">
              <w:rPr>
                <w:rFonts w:ascii="Times New Roman" w:hAnsi="Times New Roman"/>
                <w:i/>
                <w:iCs/>
                <w:sz w:val="24"/>
                <w:szCs w:val="24"/>
              </w:rPr>
              <w:t>ation</w:t>
            </w:r>
            <w:r w:rsidRPr="000509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for each </w:t>
            </w:r>
            <w:r w:rsidR="00050948" w:rsidRPr="00050948">
              <w:rPr>
                <w:rFonts w:ascii="Times New Roman" w:hAnsi="Times New Roman"/>
                <w:i/>
                <w:iCs/>
                <w:sz w:val="24"/>
                <w:szCs w:val="24"/>
              </w:rPr>
              <w:t>goal</w:t>
            </w:r>
            <w:r w:rsidRPr="000509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with more specific deliverables and timelines</w:t>
            </w:r>
            <w:r w:rsidR="00050948" w:rsidRPr="0005094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7C07781C" w14:textId="77777777" w:rsidR="001B0763" w:rsidRPr="00837A9F" w:rsidRDefault="001B0763" w:rsidP="001B076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2160"/>
        <w:gridCol w:w="2700"/>
        <w:gridCol w:w="2678"/>
      </w:tblGrid>
      <w:tr w:rsidR="001B0763" w:rsidRPr="00837A9F" w14:paraId="69A928BA" w14:textId="77777777" w:rsidTr="7F0BB14F">
        <w:trPr>
          <w:cantSplit/>
          <w:tblHeader/>
          <w:jc w:val="center"/>
        </w:trPr>
        <w:tc>
          <w:tcPr>
            <w:tcW w:w="10921" w:type="dxa"/>
            <w:gridSpan w:val="4"/>
            <w:shd w:val="clear" w:color="auto" w:fill="002060"/>
          </w:tcPr>
          <w:p w14:paraId="4597BFE2" w14:textId="11A778D2" w:rsidR="001B0763" w:rsidRPr="00837A9F" w:rsidRDefault="001B0763" w:rsidP="00C50BC7">
            <w:pPr>
              <w:pStyle w:val="Heading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0BB14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570F1797" w:rsidRPr="7F0BB14F">
              <w:rPr>
                <w:rFonts w:ascii="Times New Roman" w:hAnsi="Times New Roman" w:cs="Times New Roman"/>
                <w:sz w:val="24"/>
                <w:szCs w:val="24"/>
              </w:rPr>
              <w:t>Racial Equity Work Group</w:t>
            </w:r>
            <w:r w:rsidRPr="7F0BB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545E6B7" w:rsidRPr="7F0BB14F">
              <w:rPr>
                <w:rFonts w:ascii="Times New Roman" w:hAnsi="Times New Roman" w:cs="Times New Roman"/>
                <w:sz w:val="24"/>
                <w:szCs w:val="24"/>
              </w:rPr>
              <w:t xml:space="preserve">Timeline </w:t>
            </w:r>
          </w:p>
        </w:tc>
      </w:tr>
      <w:tr w:rsidR="001B0763" w:rsidRPr="00837A9F" w14:paraId="6900F8E7" w14:textId="77777777" w:rsidTr="7F0BB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C496E" w14:textId="77777777" w:rsidR="001B0763" w:rsidRPr="00837A9F" w:rsidRDefault="001B0763" w:rsidP="00C50BC7">
            <w:pPr>
              <w:pStyle w:val="BodyText"/>
              <w:widowControl w:val="0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837A9F">
              <w:rPr>
                <w:rFonts w:ascii="Times New Roman" w:hAnsi="Times New Roman"/>
                <w:b/>
                <w:kern w:val="28"/>
                <w:sz w:val="24"/>
                <w:szCs w:val="24"/>
              </w:rPr>
              <w:t>Start date: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BCFB" w14:textId="6E9B886A" w:rsidR="001B0763" w:rsidRPr="00837A9F" w:rsidRDefault="00CB76DD" w:rsidP="00C50BC7">
            <w:pPr>
              <w:pStyle w:val="CovFormText"/>
              <w:widowContro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February </w:t>
            </w:r>
            <w:r w:rsidR="009C142F">
              <w:rPr>
                <w:rFonts w:ascii="Times New Roman" w:hAnsi="Times New Roman"/>
                <w:kern w:val="28"/>
                <w:sz w:val="24"/>
                <w:szCs w:val="24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3AF9D" w14:textId="77777777" w:rsidR="001B0763" w:rsidRPr="00837A9F" w:rsidRDefault="001B0763" w:rsidP="00C50BC7">
            <w:pPr>
              <w:pStyle w:val="BodyText"/>
              <w:widowControl w:val="0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837A9F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Proposed end date: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51059" w14:textId="00F60FE8" w:rsidR="001B0763" w:rsidRPr="00837A9F" w:rsidRDefault="006B4658" w:rsidP="00C50BC7">
            <w:pPr>
              <w:pStyle w:val="CovFormText"/>
              <w:widowContro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Ongoing</w:t>
            </w:r>
          </w:p>
        </w:tc>
      </w:tr>
    </w:tbl>
    <w:p w14:paraId="7A6A2DEF" w14:textId="567124C8" w:rsidR="009C142F" w:rsidRDefault="009C142F" w:rsidP="001B076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D9CE958" w14:textId="17B0A2E6" w:rsidR="009C142F" w:rsidRDefault="009C142F" w:rsidP="001B076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EC0448A" w14:textId="77777777" w:rsidR="009C142F" w:rsidRPr="00837A9F" w:rsidRDefault="009C142F" w:rsidP="001B076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63" w:type="dxa"/>
        <w:jc w:val="center"/>
        <w:tblLook w:val="04A0" w:firstRow="1" w:lastRow="0" w:firstColumn="1" w:lastColumn="0" w:noHBand="0" w:noVBand="1"/>
      </w:tblPr>
      <w:tblGrid>
        <w:gridCol w:w="3495"/>
        <w:gridCol w:w="2964"/>
        <w:gridCol w:w="2704"/>
      </w:tblGrid>
      <w:tr w:rsidR="00024113" w:rsidRPr="00837A9F" w14:paraId="60406825" w14:textId="77777777" w:rsidTr="045EA69F">
        <w:trPr>
          <w:trHeight w:val="521"/>
          <w:jc w:val="center"/>
        </w:trPr>
        <w:tc>
          <w:tcPr>
            <w:tcW w:w="9163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2804EE8D" w14:textId="1E6850AB" w:rsidR="00024113" w:rsidRPr="00F6133D" w:rsidRDefault="009C142F" w:rsidP="002B11F6">
            <w:pPr>
              <w:widowControl w:val="0"/>
              <w:spacing w:after="24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Racial Equity Work Group</w:t>
            </w:r>
            <w:r w:rsidR="00024113" w:rsidRPr="00F6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Membership</w:t>
            </w:r>
          </w:p>
        </w:tc>
      </w:tr>
      <w:tr w:rsidR="00024113" w:rsidRPr="00837A9F" w14:paraId="261A8655" w14:textId="77777777" w:rsidTr="045EA69F">
        <w:trPr>
          <w:trHeight w:val="3465"/>
          <w:jc w:val="center"/>
        </w:trPr>
        <w:tc>
          <w:tcPr>
            <w:tcW w:w="9163" w:type="dxa"/>
            <w:gridSpan w:val="3"/>
            <w:tcBorders>
              <w:bottom w:val="single" w:sz="4" w:space="0" w:color="auto"/>
            </w:tcBorders>
          </w:tcPr>
          <w:p w14:paraId="21E833E0" w14:textId="7ACCF23F" w:rsidR="00024113" w:rsidRDefault="00024113" w:rsidP="00024113">
            <w:pPr>
              <w:pStyle w:val="ListParagraph"/>
              <w:widowControl w:val="0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A9F">
              <w:rPr>
                <w:rFonts w:ascii="Times New Roman" w:hAnsi="Times New Roman" w:cs="Times New Roman"/>
                <w:sz w:val="24"/>
                <w:szCs w:val="24"/>
              </w:rPr>
              <w:t xml:space="preserve">Participation in the </w:t>
            </w:r>
            <w:r w:rsidR="009C142F">
              <w:rPr>
                <w:rFonts w:ascii="Times New Roman" w:hAnsi="Times New Roman" w:cs="Times New Roman"/>
                <w:sz w:val="24"/>
                <w:szCs w:val="24"/>
              </w:rPr>
              <w:t>Work Group</w:t>
            </w:r>
            <w:r w:rsidRPr="00837A9F">
              <w:rPr>
                <w:rFonts w:ascii="Times New Roman" w:hAnsi="Times New Roman" w:cs="Times New Roman"/>
                <w:sz w:val="24"/>
                <w:szCs w:val="24"/>
              </w:rPr>
              <w:t xml:space="preserve"> is open to any and all individuals </w:t>
            </w:r>
            <w:r w:rsidR="009C142F">
              <w:rPr>
                <w:rFonts w:ascii="Times New Roman" w:hAnsi="Times New Roman" w:cs="Times New Roman"/>
                <w:sz w:val="24"/>
                <w:szCs w:val="24"/>
              </w:rPr>
              <w:t xml:space="preserve">who are NASCSP members or </w:t>
            </w:r>
            <w:proofErr w:type="gramStart"/>
            <w:r w:rsidR="009C142F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proofErr w:type="gramEnd"/>
          </w:p>
          <w:p w14:paraId="23765938" w14:textId="7D29F549" w:rsidR="006B4658" w:rsidRPr="00AC3674" w:rsidRDefault="006B4658" w:rsidP="00024113">
            <w:pPr>
              <w:pStyle w:val="ListParagraph"/>
              <w:widowControl w:val="0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 length: 2 years </w:t>
            </w:r>
          </w:p>
          <w:p w14:paraId="641AE972" w14:textId="55D60640" w:rsidR="00024113" w:rsidRDefault="00024113" w:rsidP="00024113">
            <w:pPr>
              <w:pStyle w:val="ListParagraph"/>
              <w:widowControl w:val="0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16ECA">
              <w:rPr>
                <w:rFonts w:ascii="Times New Roman" w:hAnsi="Times New Roman" w:cs="Times New Roman"/>
                <w:sz w:val="24"/>
                <w:szCs w:val="24"/>
              </w:rPr>
              <w:t xml:space="preserve">Starting </w:t>
            </w:r>
            <w:r w:rsidR="00CB76DD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9C142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716ECA"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="009C142F">
              <w:rPr>
                <w:rFonts w:ascii="Times New Roman" w:hAnsi="Times New Roman" w:cs="Times New Roman"/>
                <w:sz w:val="24"/>
                <w:szCs w:val="24"/>
              </w:rPr>
              <w:t>Work Group</w:t>
            </w:r>
            <w:r w:rsidRPr="00716ECA">
              <w:rPr>
                <w:rFonts w:ascii="Times New Roman" w:hAnsi="Times New Roman" w:cs="Times New Roman"/>
                <w:sz w:val="24"/>
                <w:szCs w:val="24"/>
              </w:rPr>
              <w:t xml:space="preserve"> will meet </w:t>
            </w:r>
            <w:r w:rsidR="009C142F"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  <w:r w:rsidRPr="00716EC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a process to review </w:t>
            </w:r>
            <w:r w:rsidRPr="00716ECA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programs</w:t>
            </w:r>
            <w:r w:rsidR="009C14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policies</w:t>
            </w:r>
            <w:proofErr w:type="gramEnd"/>
          </w:p>
          <w:p w14:paraId="0D6346F4" w14:textId="1BE4B6B2" w:rsidR="00024113" w:rsidRDefault="00024113" w:rsidP="00024113">
            <w:pPr>
              <w:pStyle w:val="ListParagraph"/>
              <w:widowControl w:val="0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A9F">
              <w:rPr>
                <w:rFonts w:ascii="Times New Roman" w:hAnsi="Times New Roman" w:cs="Times New Roman"/>
                <w:sz w:val="24"/>
                <w:szCs w:val="24"/>
              </w:rPr>
              <w:t xml:space="preserve">Subcommittees to the core </w:t>
            </w:r>
            <w:r w:rsidR="009C142F">
              <w:rPr>
                <w:rFonts w:ascii="Times New Roman" w:hAnsi="Times New Roman" w:cs="Times New Roman"/>
                <w:sz w:val="24"/>
                <w:szCs w:val="24"/>
              </w:rPr>
              <w:t>Work Group</w:t>
            </w:r>
            <w:r w:rsidRPr="00837A9F">
              <w:rPr>
                <w:rFonts w:ascii="Times New Roman" w:hAnsi="Times New Roman" w:cs="Times New Roman"/>
                <w:sz w:val="24"/>
                <w:szCs w:val="24"/>
              </w:rPr>
              <w:t xml:space="preserve"> are formed on an as-needed basis, and participation is open to any </w:t>
            </w:r>
            <w:r w:rsidR="009C142F">
              <w:rPr>
                <w:rFonts w:ascii="Times New Roman" w:hAnsi="Times New Roman" w:cs="Times New Roman"/>
                <w:sz w:val="24"/>
                <w:szCs w:val="24"/>
              </w:rPr>
              <w:t>Work Group members</w:t>
            </w:r>
            <w:r w:rsidRPr="00837A9F">
              <w:rPr>
                <w:rFonts w:ascii="Times New Roman" w:hAnsi="Times New Roman" w:cs="Times New Roman"/>
                <w:sz w:val="24"/>
                <w:szCs w:val="24"/>
              </w:rPr>
              <w:t>. Subcommittees meet as frequently as needed.</w:t>
            </w:r>
          </w:p>
          <w:p w14:paraId="55D401DE" w14:textId="00FA90F6" w:rsidR="00024113" w:rsidRDefault="007D3ED6" w:rsidP="007D3ED6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3ED6">
              <w:rPr>
                <w:rFonts w:ascii="Times New Roman" w:hAnsi="Times New Roman" w:cs="Times New Roman"/>
                <w:sz w:val="24"/>
                <w:szCs w:val="24"/>
              </w:rPr>
              <w:t xml:space="preserve">Meeting discussions shall be inclusive and collegial; recommendations shall be based on </w:t>
            </w:r>
            <w:proofErr w:type="gramStart"/>
            <w:r w:rsidRPr="007D3ED6">
              <w:rPr>
                <w:rFonts w:ascii="Times New Roman" w:hAnsi="Times New Roman" w:cs="Times New Roman"/>
                <w:sz w:val="24"/>
                <w:szCs w:val="24"/>
              </w:rPr>
              <w:t>a majority of</w:t>
            </w:r>
            <w:proofErr w:type="gramEnd"/>
            <w:r w:rsidRPr="007D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B9D" w:rsidRPr="007D3ED6">
              <w:rPr>
                <w:rFonts w:ascii="Times New Roman" w:hAnsi="Times New Roman" w:cs="Times New Roman"/>
                <w:sz w:val="24"/>
                <w:szCs w:val="24"/>
              </w:rPr>
              <w:t>opinion.</w:t>
            </w:r>
          </w:p>
          <w:p w14:paraId="2797D7EE" w14:textId="68308408" w:rsidR="00B20F4F" w:rsidRPr="007D3ED6" w:rsidRDefault="00B20F4F" w:rsidP="007D3ED6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should be composed </w:t>
            </w:r>
            <w:r w:rsidR="00541E35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equal representation of CSBG and WAP </w:t>
            </w:r>
            <w:r w:rsidR="00541E35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  <w:p w14:paraId="41588D8C" w14:textId="77777777" w:rsidR="00024113" w:rsidRPr="00B26923" w:rsidRDefault="00024113" w:rsidP="002B11F6">
            <w:pPr>
              <w:pStyle w:val="NoSpacing"/>
              <w:rPr>
                <w:rFonts w:ascii="Times New Roman" w:hAnsi="Times New Roman" w:cs="Times New Roman"/>
              </w:rPr>
            </w:pPr>
            <w:r w:rsidRPr="00B26923">
              <w:rPr>
                <w:rFonts w:ascii="Times New Roman" w:hAnsi="Times New Roman" w:cs="Times New Roman"/>
                <w:b/>
              </w:rPr>
              <w:t>Estimated Annual Time Commitment for each Team Member</w:t>
            </w:r>
            <w:r w:rsidRPr="00B26923">
              <w:rPr>
                <w:rFonts w:ascii="Times New Roman" w:hAnsi="Times New Roman" w:cs="Times New Roman"/>
              </w:rPr>
              <w:t xml:space="preserve">: </w:t>
            </w:r>
          </w:p>
          <w:p w14:paraId="00B7E75D" w14:textId="78332595" w:rsidR="00CB76DD" w:rsidRPr="00CB76DD" w:rsidRDefault="00024113" w:rsidP="00CB76DD">
            <w:pPr>
              <w:pStyle w:val="ListParagraph"/>
              <w:numPr>
                <w:ilvl w:val="0"/>
                <w:numId w:val="8"/>
              </w:num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C3674">
              <w:rPr>
                <w:rFonts w:ascii="Times New Roman" w:hAnsi="Times New Roman" w:cs="Times New Roman"/>
                <w:sz w:val="24"/>
                <w:szCs w:val="24"/>
              </w:rPr>
              <w:t>Monthly meetings (60</w:t>
            </w:r>
            <w:r w:rsidR="009C142F">
              <w:rPr>
                <w:rFonts w:ascii="Times New Roman" w:hAnsi="Times New Roman" w:cs="Times New Roman"/>
                <w:sz w:val="24"/>
                <w:szCs w:val="24"/>
              </w:rPr>
              <w:t>min)</w:t>
            </w:r>
          </w:p>
          <w:p w14:paraId="07BDE41D" w14:textId="7402E814" w:rsidR="00024113" w:rsidRDefault="00024113" w:rsidP="00024113">
            <w:pPr>
              <w:pStyle w:val="ListParagraph"/>
              <w:numPr>
                <w:ilvl w:val="0"/>
                <w:numId w:val="8"/>
              </w:num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C3674">
              <w:rPr>
                <w:rFonts w:ascii="Times New Roman" w:hAnsi="Times New Roman" w:cs="Times New Roman"/>
                <w:sz w:val="24"/>
                <w:szCs w:val="24"/>
              </w:rPr>
              <w:t xml:space="preserve">Additional </w:t>
            </w:r>
            <w:r w:rsidR="00CB76DD">
              <w:rPr>
                <w:rFonts w:ascii="Times New Roman" w:hAnsi="Times New Roman" w:cs="Times New Roman"/>
                <w:sz w:val="24"/>
                <w:szCs w:val="24"/>
              </w:rPr>
              <w:t xml:space="preserve">preparation, </w:t>
            </w:r>
            <w:r w:rsidRPr="00AC3674">
              <w:rPr>
                <w:rFonts w:ascii="Times New Roman" w:hAnsi="Times New Roman" w:cs="Times New Roman"/>
                <w:sz w:val="24"/>
                <w:szCs w:val="24"/>
              </w:rPr>
              <w:t xml:space="preserve">planning, </w:t>
            </w:r>
            <w:r w:rsidR="00CB76DD">
              <w:rPr>
                <w:rFonts w:ascii="Times New Roman" w:hAnsi="Times New Roman" w:cs="Times New Roman"/>
                <w:sz w:val="24"/>
                <w:szCs w:val="24"/>
              </w:rPr>
              <w:t>subcommittee work</w:t>
            </w:r>
            <w:r w:rsidRPr="00AC3674">
              <w:rPr>
                <w:rFonts w:ascii="Times New Roman" w:hAnsi="Times New Roman" w:cs="Times New Roman"/>
                <w:sz w:val="24"/>
                <w:szCs w:val="24"/>
              </w:rPr>
              <w:t xml:space="preserve"> &amp; related work on policies, practices</w:t>
            </w:r>
            <w:r w:rsidR="00CB7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3674">
              <w:rPr>
                <w:rFonts w:ascii="Times New Roman" w:hAnsi="Times New Roman" w:cs="Times New Roman"/>
                <w:sz w:val="24"/>
                <w:szCs w:val="24"/>
              </w:rPr>
              <w:t xml:space="preserve"> and programs (~</w:t>
            </w:r>
            <w:r w:rsidR="00CB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674">
              <w:rPr>
                <w:rFonts w:ascii="Times New Roman" w:hAnsi="Times New Roman" w:cs="Times New Roman"/>
                <w:sz w:val="24"/>
                <w:szCs w:val="24"/>
              </w:rPr>
              <w:t xml:space="preserve"> hour/</w:t>
            </w:r>
            <w:r w:rsidR="00CB76DD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Pr="00AC36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D8C000" w14:textId="77777777" w:rsidR="00024113" w:rsidRPr="00074B9D" w:rsidRDefault="00CB76DD" w:rsidP="00CB76DD">
            <w:pPr>
              <w:pStyle w:val="ListParagraph"/>
              <w:numPr>
                <w:ilvl w:val="0"/>
                <w:numId w:val="8"/>
              </w:numPr>
              <w:ind w:left="4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and planning for quarterly webinars (2.5 hours/quarter)</w:t>
            </w:r>
          </w:p>
          <w:p w14:paraId="47306188" w14:textId="2E4AAA1A" w:rsidR="00074B9D" w:rsidRPr="00837A9F" w:rsidRDefault="00074B9D" w:rsidP="00CB76DD">
            <w:pPr>
              <w:pStyle w:val="ListParagraph"/>
              <w:numPr>
                <w:ilvl w:val="0"/>
                <w:numId w:val="8"/>
              </w:numPr>
              <w:ind w:left="436"/>
              <w:rPr>
                <w:rFonts w:ascii="Times New Roman" w:hAnsi="Times New Roman"/>
                <w:b/>
                <w:sz w:val="24"/>
                <w:szCs w:val="24"/>
              </w:rPr>
            </w:pPr>
            <w:r w:rsidRPr="00D82905">
              <w:rPr>
                <w:rFonts w:ascii="Times New Roman" w:hAnsi="Times New Roman"/>
                <w:bCs/>
                <w:sz w:val="24"/>
                <w:szCs w:val="24"/>
              </w:rPr>
              <w:t>Participation in racial equity sessions at NASCSP conferences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hours per year [3.5 hours per conference])</w:t>
            </w:r>
          </w:p>
        </w:tc>
      </w:tr>
      <w:tr w:rsidR="00CB76DD" w14:paraId="748A9E5A" w14:textId="77777777" w:rsidTr="045EA69F">
        <w:trPr>
          <w:trHeight w:val="387"/>
          <w:jc w:val="center"/>
        </w:trPr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F7B5F8" w14:textId="77777777" w:rsidR="00CB76DD" w:rsidRDefault="00CB76DD"/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0CC71C" w14:textId="77777777" w:rsidR="00CB76DD" w:rsidRDefault="00CB76DD"/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3F32BF" w14:textId="77777777" w:rsidR="00CB76DD" w:rsidRDefault="00CB76DD"/>
        </w:tc>
      </w:tr>
      <w:tr w:rsidR="00CB76DD" w14:paraId="5C1A7332" w14:textId="77777777" w:rsidTr="045EA69F">
        <w:trPr>
          <w:trHeight w:val="458"/>
          <w:jc w:val="center"/>
        </w:trPr>
        <w:tc>
          <w:tcPr>
            <w:tcW w:w="9163" w:type="dxa"/>
            <w:gridSpan w:val="3"/>
            <w:tcBorders>
              <w:top w:val="single" w:sz="4" w:space="0" w:color="auto"/>
            </w:tcBorders>
            <w:shd w:val="clear" w:color="auto" w:fill="002060"/>
          </w:tcPr>
          <w:p w14:paraId="5058073C" w14:textId="7E93F855" w:rsidR="00CB76DD" w:rsidRPr="00CB76DD" w:rsidRDefault="00CB76DD" w:rsidP="00CB7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7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Group Members</w:t>
            </w:r>
          </w:p>
        </w:tc>
      </w:tr>
      <w:tr w:rsidR="006B5DD2" w14:paraId="164E1710" w14:textId="77777777" w:rsidTr="045EA69F">
        <w:trPr>
          <w:trHeight w:val="387"/>
          <w:jc w:val="center"/>
        </w:trPr>
        <w:tc>
          <w:tcPr>
            <w:tcW w:w="3495" w:type="dxa"/>
          </w:tcPr>
          <w:p w14:paraId="7DC21C4D" w14:textId="0AFC0174" w:rsidR="00CB76DD" w:rsidRPr="00CB76DD" w:rsidRDefault="00CB76DD">
            <w:pPr>
              <w:rPr>
                <w:rFonts w:ascii="Times New Roman" w:hAnsi="Times New Roman" w:cs="Times New Roman"/>
                <w:b/>
                <w:bCs/>
              </w:rPr>
            </w:pPr>
            <w:r w:rsidRPr="00CB76DD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964" w:type="dxa"/>
          </w:tcPr>
          <w:p w14:paraId="1AC4BFB2" w14:textId="54F7F28E" w:rsidR="00CB76DD" w:rsidRPr="00CB76DD" w:rsidRDefault="00CB76DD">
            <w:pPr>
              <w:rPr>
                <w:rFonts w:ascii="Times New Roman" w:hAnsi="Times New Roman" w:cs="Times New Roman"/>
                <w:b/>
                <w:bCs/>
              </w:rPr>
            </w:pPr>
            <w:r w:rsidRPr="00CB76DD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2704" w:type="dxa"/>
          </w:tcPr>
          <w:p w14:paraId="08FABDC0" w14:textId="12E16A50" w:rsidR="00CB76DD" w:rsidRPr="00CB76DD" w:rsidRDefault="00CB76DD">
            <w:pPr>
              <w:rPr>
                <w:rFonts w:ascii="Times New Roman" w:hAnsi="Times New Roman" w:cs="Times New Roman"/>
                <w:b/>
                <w:bCs/>
              </w:rPr>
            </w:pPr>
            <w:r w:rsidRPr="00CB76DD">
              <w:rPr>
                <w:rFonts w:ascii="Times New Roman" w:hAnsi="Times New Roman" w:cs="Times New Roman"/>
                <w:b/>
                <w:bCs/>
              </w:rPr>
              <w:t>State</w:t>
            </w:r>
          </w:p>
        </w:tc>
      </w:tr>
      <w:tr w:rsidR="006B5DD2" w:rsidRPr="006B5DD2" w14:paraId="46BA504D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6D0E2DC1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Beverly Buchanan (President)</w:t>
            </w:r>
          </w:p>
        </w:tc>
        <w:tc>
          <w:tcPr>
            <w:tcW w:w="2964" w:type="dxa"/>
            <w:noWrap/>
            <w:hideMark/>
          </w:tcPr>
          <w:p w14:paraId="53FE30C9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CSBG</w:t>
            </w:r>
          </w:p>
        </w:tc>
        <w:tc>
          <w:tcPr>
            <w:tcW w:w="2704" w:type="dxa"/>
            <w:noWrap/>
            <w:hideMark/>
          </w:tcPr>
          <w:p w14:paraId="59A2699B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</w:t>
            </w:r>
          </w:p>
        </w:tc>
      </w:tr>
      <w:tr w:rsidR="006B5DD2" w:rsidRPr="006B5DD2" w14:paraId="1344F57C" w14:textId="77777777" w:rsidTr="045EA69F">
        <w:trPr>
          <w:trHeight w:val="300"/>
          <w:jc w:val="center"/>
        </w:trPr>
        <w:tc>
          <w:tcPr>
            <w:tcW w:w="3495" w:type="dxa"/>
            <w:noWrap/>
            <w:hideMark/>
          </w:tcPr>
          <w:p w14:paraId="74A77083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Matt Fitzgerald (Vice President)</w:t>
            </w:r>
          </w:p>
        </w:tc>
        <w:tc>
          <w:tcPr>
            <w:tcW w:w="2964" w:type="dxa"/>
            <w:noWrap/>
            <w:hideMark/>
          </w:tcPr>
          <w:p w14:paraId="569449EC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CSBG</w:t>
            </w:r>
          </w:p>
        </w:tc>
        <w:tc>
          <w:tcPr>
            <w:tcW w:w="2704" w:type="dxa"/>
            <w:noWrap/>
            <w:hideMark/>
          </w:tcPr>
          <w:p w14:paraId="11E4D826" w14:textId="3CA8C8AA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</w:t>
            </w:r>
          </w:p>
        </w:tc>
      </w:tr>
      <w:tr w:rsidR="006B5DD2" w:rsidRPr="006B5DD2" w14:paraId="7A84AABD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578A5B0E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Leslie Taylor (Region V Alt)</w:t>
            </w:r>
          </w:p>
        </w:tc>
        <w:tc>
          <w:tcPr>
            <w:tcW w:w="2964" w:type="dxa"/>
            <w:noWrap/>
            <w:hideMark/>
          </w:tcPr>
          <w:p w14:paraId="71D40D16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CSBG</w:t>
            </w:r>
          </w:p>
        </w:tc>
        <w:tc>
          <w:tcPr>
            <w:tcW w:w="2704" w:type="dxa"/>
            <w:noWrap/>
            <w:hideMark/>
          </w:tcPr>
          <w:p w14:paraId="6F06FF7F" w14:textId="3226E558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</w:t>
            </w:r>
          </w:p>
        </w:tc>
      </w:tr>
      <w:tr w:rsidR="006B5DD2" w:rsidRPr="006B5DD2" w14:paraId="028030DF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4E96FB63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Angela Fraser</w:t>
            </w:r>
          </w:p>
        </w:tc>
        <w:tc>
          <w:tcPr>
            <w:tcW w:w="2964" w:type="dxa"/>
            <w:noWrap/>
            <w:hideMark/>
          </w:tcPr>
          <w:p w14:paraId="1136E002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CSBG</w:t>
            </w:r>
          </w:p>
        </w:tc>
        <w:tc>
          <w:tcPr>
            <w:tcW w:w="2704" w:type="dxa"/>
            <w:noWrap/>
            <w:hideMark/>
          </w:tcPr>
          <w:p w14:paraId="013C5471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MD</w:t>
            </w:r>
          </w:p>
        </w:tc>
      </w:tr>
      <w:tr w:rsidR="006B5DD2" w:rsidRPr="006B5DD2" w14:paraId="254E8EBB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0ADF88DF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Troy </w:t>
            </w:r>
            <w:proofErr w:type="spellStart"/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Cucchiara</w:t>
            </w:r>
            <w:proofErr w:type="spellEnd"/>
          </w:p>
        </w:tc>
        <w:tc>
          <w:tcPr>
            <w:tcW w:w="2964" w:type="dxa"/>
            <w:noWrap/>
            <w:hideMark/>
          </w:tcPr>
          <w:p w14:paraId="3C929848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WAP</w:t>
            </w:r>
          </w:p>
        </w:tc>
        <w:tc>
          <w:tcPr>
            <w:tcW w:w="2704" w:type="dxa"/>
            <w:noWrap/>
            <w:hideMark/>
          </w:tcPr>
          <w:p w14:paraId="5EE8D55F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NM</w:t>
            </w:r>
          </w:p>
        </w:tc>
      </w:tr>
      <w:tr w:rsidR="006B5DD2" w:rsidRPr="006B5DD2" w14:paraId="43AF704D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51C66104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Karen Keith</w:t>
            </w:r>
          </w:p>
        </w:tc>
        <w:tc>
          <w:tcPr>
            <w:tcW w:w="2964" w:type="dxa"/>
            <w:noWrap/>
            <w:hideMark/>
          </w:tcPr>
          <w:p w14:paraId="4284C26D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CSBG</w:t>
            </w:r>
          </w:p>
        </w:tc>
        <w:tc>
          <w:tcPr>
            <w:tcW w:w="2704" w:type="dxa"/>
            <w:noWrap/>
            <w:hideMark/>
          </w:tcPr>
          <w:p w14:paraId="7A239F9E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TX</w:t>
            </w:r>
          </w:p>
        </w:tc>
      </w:tr>
      <w:tr w:rsidR="006B5DD2" w:rsidRPr="006B5DD2" w14:paraId="31E62527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3C741636" w14:textId="193934AB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Stephanie </w:t>
            </w:r>
            <w:proofErr w:type="spellStart"/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Insinna-Sahondo</w:t>
            </w:r>
            <w:proofErr w:type="spellEnd"/>
          </w:p>
        </w:tc>
        <w:tc>
          <w:tcPr>
            <w:tcW w:w="2964" w:type="dxa"/>
            <w:noWrap/>
            <w:hideMark/>
          </w:tcPr>
          <w:p w14:paraId="4C84E018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WAP</w:t>
            </w:r>
          </w:p>
        </w:tc>
        <w:tc>
          <w:tcPr>
            <w:tcW w:w="2704" w:type="dxa"/>
            <w:noWrap/>
            <w:hideMark/>
          </w:tcPr>
          <w:p w14:paraId="2095E7B1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</w:t>
            </w:r>
          </w:p>
        </w:tc>
      </w:tr>
      <w:tr w:rsidR="006B5DD2" w:rsidRPr="006B5DD2" w14:paraId="3B889B02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652C1751" w14:textId="42A6337A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Lynette </w:t>
            </w:r>
            <w:proofErr w:type="spellStart"/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Praster</w:t>
            </w:r>
            <w:proofErr w:type="spellEnd"/>
          </w:p>
        </w:tc>
        <w:tc>
          <w:tcPr>
            <w:tcW w:w="2964" w:type="dxa"/>
            <w:noWrap/>
            <w:hideMark/>
          </w:tcPr>
          <w:p w14:paraId="67876992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CSBG &amp; WAP</w:t>
            </w:r>
          </w:p>
        </w:tc>
        <w:tc>
          <w:tcPr>
            <w:tcW w:w="2704" w:type="dxa"/>
            <w:noWrap/>
            <w:hideMark/>
          </w:tcPr>
          <w:p w14:paraId="50E9FC80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</w:t>
            </w:r>
          </w:p>
        </w:tc>
      </w:tr>
      <w:tr w:rsidR="00173943" w:rsidRPr="006B5DD2" w14:paraId="52625EEE" w14:textId="77777777" w:rsidTr="045EA69F">
        <w:trPr>
          <w:trHeight w:val="290"/>
          <w:jc w:val="center"/>
        </w:trPr>
        <w:tc>
          <w:tcPr>
            <w:tcW w:w="3495" w:type="dxa"/>
            <w:noWrap/>
          </w:tcPr>
          <w:p w14:paraId="4667D83E" w14:textId="7A92CE1E" w:rsidR="00173943" w:rsidRPr="006B5DD2" w:rsidRDefault="00173943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Amanda Rains</w:t>
            </w:r>
          </w:p>
        </w:tc>
        <w:tc>
          <w:tcPr>
            <w:tcW w:w="2964" w:type="dxa"/>
            <w:noWrap/>
          </w:tcPr>
          <w:p w14:paraId="18DFA74E" w14:textId="41DB9332" w:rsidR="00173943" w:rsidRPr="006B5DD2" w:rsidRDefault="00173943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WAP</w:t>
            </w:r>
          </w:p>
        </w:tc>
        <w:tc>
          <w:tcPr>
            <w:tcW w:w="2704" w:type="dxa"/>
            <w:noWrap/>
          </w:tcPr>
          <w:p w14:paraId="57221A93" w14:textId="72D34D87" w:rsidR="00173943" w:rsidRPr="006B5DD2" w:rsidRDefault="00173943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</w:t>
            </w:r>
          </w:p>
        </w:tc>
      </w:tr>
      <w:tr w:rsidR="006B5DD2" w:rsidRPr="006B5DD2" w14:paraId="5ACF6191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02AF73C5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Jonathan Ballew</w:t>
            </w:r>
          </w:p>
        </w:tc>
        <w:tc>
          <w:tcPr>
            <w:tcW w:w="2964" w:type="dxa"/>
            <w:noWrap/>
            <w:hideMark/>
          </w:tcPr>
          <w:p w14:paraId="1FF91074" w14:textId="1ACE6A82" w:rsidR="006B5DD2" w:rsidRPr="006B5DD2" w:rsidRDefault="00074B9D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NASCSP-</w:t>
            </w:r>
            <w:r w:rsidR="006B5DD2"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WAP</w:t>
            </w:r>
          </w:p>
        </w:tc>
        <w:tc>
          <w:tcPr>
            <w:tcW w:w="2704" w:type="dxa"/>
            <w:noWrap/>
            <w:hideMark/>
          </w:tcPr>
          <w:p w14:paraId="30F8FB59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MT</w:t>
            </w:r>
          </w:p>
        </w:tc>
      </w:tr>
      <w:tr w:rsidR="006B5DD2" w:rsidRPr="006B5DD2" w14:paraId="2286A16E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60DEE884" w14:textId="7D11A15D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Khari Grant</w:t>
            </w:r>
          </w:p>
        </w:tc>
        <w:tc>
          <w:tcPr>
            <w:tcW w:w="2964" w:type="dxa"/>
            <w:noWrap/>
            <w:hideMark/>
          </w:tcPr>
          <w:p w14:paraId="628AFEEC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NASCSP</w:t>
            </w:r>
          </w:p>
        </w:tc>
        <w:tc>
          <w:tcPr>
            <w:tcW w:w="2704" w:type="dxa"/>
            <w:noWrap/>
            <w:hideMark/>
          </w:tcPr>
          <w:p w14:paraId="09627DF4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MD</w:t>
            </w:r>
          </w:p>
        </w:tc>
      </w:tr>
      <w:tr w:rsidR="006B5DD2" w:rsidRPr="006B5DD2" w14:paraId="78AB78A0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21EBBDBF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Jenae </w:t>
            </w:r>
            <w:proofErr w:type="spellStart"/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Bjelland</w:t>
            </w:r>
            <w:proofErr w:type="spellEnd"/>
          </w:p>
        </w:tc>
        <w:tc>
          <w:tcPr>
            <w:tcW w:w="2964" w:type="dxa"/>
            <w:noWrap/>
            <w:hideMark/>
          </w:tcPr>
          <w:p w14:paraId="6BDB187C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NASCSP</w:t>
            </w:r>
          </w:p>
        </w:tc>
        <w:tc>
          <w:tcPr>
            <w:tcW w:w="2704" w:type="dxa"/>
            <w:noWrap/>
            <w:hideMark/>
          </w:tcPr>
          <w:p w14:paraId="4F472D8E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DC</w:t>
            </w:r>
          </w:p>
        </w:tc>
      </w:tr>
      <w:tr w:rsidR="006B5DD2" w:rsidRPr="006B5DD2" w14:paraId="1C2DBF9D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653F7C5F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Muska</w:t>
            </w:r>
            <w:proofErr w:type="spellEnd"/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Kamran</w:t>
            </w:r>
          </w:p>
        </w:tc>
        <w:tc>
          <w:tcPr>
            <w:tcW w:w="2964" w:type="dxa"/>
            <w:noWrap/>
            <w:hideMark/>
          </w:tcPr>
          <w:p w14:paraId="4F93383B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NASCSP-CSBG</w:t>
            </w:r>
          </w:p>
        </w:tc>
        <w:tc>
          <w:tcPr>
            <w:tcW w:w="2704" w:type="dxa"/>
            <w:noWrap/>
            <w:hideMark/>
          </w:tcPr>
          <w:p w14:paraId="5DE1029A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MD</w:t>
            </w:r>
          </w:p>
        </w:tc>
      </w:tr>
      <w:tr w:rsidR="006B5DD2" w:rsidRPr="006B5DD2" w14:paraId="7187B022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221CB291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Katy </w:t>
            </w:r>
            <w:proofErr w:type="spellStart"/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Kujawski</w:t>
            </w:r>
            <w:proofErr w:type="spellEnd"/>
          </w:p>
        </w:tc>
        <w:tc>
          <w:tcPr>
            <w:tcW w:w="2964" w:type="dxa"/>
            <w:noWrap/>
            <w:hideMark/>
          </w:tcPr>
          <w:p w14:paraId="41FB37EC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NASCSP-CSBG</w:t>
            </w:r>
          </w:p>
        </w:tc>
        <w:tc>
          <w:tcPr>
            <w:tcW w:w="2704" w:type="dxa"/>
            <w:noWrap/>
            <w:hideMark/>
          </w:tcPr>
          <w:p w14:paraId="5D9D2B01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</w:t>
            </w:r>
          </w:p>
        </w:tc>
      </w:tr>
      <w:tr w:rsidR="006B5DD2" w:rsidRPr="006B5DD2" w14:paraId="1B9C356B" w14:textId="77777777" w:rsidTr="045EA69F">
        <w:trPr>
          <w:trHeight w:val="290"/>
          <w:jc w:val="center"/>
        </w:trPr>
        <w:tc>
          <w:tcPr>
            <w:tcW w:w="3495" w:type="dxa"/>
            <w:noWrap/>
            <w:hideMark/>
          </w:tcPr>
          <w:p w14:paraId="7D7D0255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Paige Milson</w:t>
            </w:r>
          </w:p>
        </w:tc>
        <w:tc>
          <w:tcPr>
            <w:tcW w:w="2964" w:type="dxa"/>
            <w:noWrap/>
            <w:hideMark/>
          </w:tcPr>
          <w:p w14:paraId="3FCF6BFE" w14:textId="444A8855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NASCSP-CSBG</w:t>
            </w:r>
            <w:r w:rsidR="00074B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&amp; WAP</w:t>
            </w:r>
          </w:p>
        </w:tc>
        <w:tc>
          <w:tcPr>
            <w:tcW w:w="2704" w:type="dxa"/>
            <w:noWrap/>
            <w:hideMark/>
          </w:tcPr>
          <w:p w14:paraId="136EC585" w14:textId="77777777" w:rsidR="006B5DD2" w:rsidRPr="006B5DD2" w:rsidRDefault="006B5DD2" w:rsidP="006B5D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5D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TX</w:t>
            </w:r>
          </w:p>
        </w:tc>
      </w:tr>
    </w:tbl>
    <w:p w14:paraId="2418ACEB" w14:textId="77777777" w:rsidR="00953F93" w:rsidRDefault="00953F93"/>
    <w:sectPr w:rsidR="00953F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7B6D" w14:textId="77777777" w:rsidR="00920BD1" w:rsidRDefault="00920BD1" w:rsidP="001B0763">
      <w:r>
        <w:separator/>
      </w:r>
    </w:p>
  </w:endnote>
  <w:endnote w:type="continuationSeparator" w:id="0">
    <w:p w14:paraId="784FEA72" w14:textId="77777777" w:rsidR="00920BD1" w:rsidRDefault="00920BD1" w:rsidP="001B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BF88" w14:textId="77777777" w:rsidR="00920BD1" w:rsidRDefault="00920BD1" w:rsidP="001B0763">
      <w:r>
        <w:separator/>
      </w:r>
    </w:p>
  </w:footnote>
  <w:footnote w:type="continuationSeparator" w:id="0">
    <w:p w14:paraId="060853C1" w14:textId="77777777" w:rsidR="00920BD1" w:rsidRDefault="00920BD1" w:rsidP="001B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B516" w14:textId="78F14920" w:rsidR="008559D5" w:rsidRDefault="008559D5">
    <w:pPr>
      <w:pStyle w:val="Header"/>
    </w:pPr>
    <w:r>
      <w:rPr>
        <w:noProof/>
      </w:rPr>
      <w:drawing>
        <wp:inline distT="0" distB="0" distL="0" distR="0" wp14:anchorId="5B8F4BCE" wp14:editId="13FB46DC">
          <wp:extent cx="5943600" cy="631825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508C6"/>
    <w:multiLevelType w:val="hybridMultilevel"/>
    <w:tmpl w:val="F6D8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6214"/>
    <w:multiLevelType w:val="hybridMultilevel"/>
    <w:tmpl w:val="1C88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7681"/>
    <w:multiLevelType w:val="hybridMultilevel"/>
    <w:tmpl w:val="D58C1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772535"/>
    <w:multiLevelType w:val="hybridMultilevel"/>
    <w:tmpl w:val="18C2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513C7"/>
    <w:multiLevelType w:val="multilevel"/>
    <w:tmpl w:val="F26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433B8"/>
    <w:multiLevelType w:val="hybridMultilevel"/>
    <w:tmpl w:val="EE50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74BBC"/>
    <w:multiLevelType w:val="hybridMultilevel"/>
    <w:tmpl w:val="4AA0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4AEC"/>
    <w:multiLevelType w:val="hybridMultilevel"/>
    <w:tmpl w:val="74348D9A"/>
    <w:lvl w:ilvl="0" w:tplc="BA0E2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0005E3"/>
    <w:multiLevelType w:val="hybridMultilevel"/>
    <w:tmpl w:val="166A6182"/>
    <w:lvl w:ilvl="0" w:tplc="31B67392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63"/>
    <w:rsid w:val="00012AD8"/>
    <w:rsid w:val="000141A4"/>
    <w:rsid w:val="00024113"/>
    <w:rsid w:val="00050948"/>
    <w:rsid w:val="0006149F"/>
    <w:rsid w:val="00074B9D"/>
    <w:rsid w:val="000A1B00"/>
    <w:rsid w:val="0013157C"/>
    <w:rsid w:val="00156397"/>
    <w:rsid w:val="00173943"/>
    <w:rsid w:val="00194379"/>
    <w:rsid w:val="001A036B"/>
    <w:rsid w:val="001A4A07"/>
    <w:rsid w:val="001B0763"/>
    <w:rsid w:val="0025529A"/>
    <w:rsid w:val="005275A2"/>
    <w:rsid w:val="00532A6F"/>
    <w:rsid w:val="00541E35"/>
    <w:rsid w:val="005A4322"/>
    <w:rsid w:val="005A6E39"/>
    <w:rsid w:val="005D0E2B"/>
    <w:rsid w:val="006B4658"/>
    <w:rsid w:val="006B5DD2"/>
    <w:rsid w:val="0071599D"/>
    <w:rsid w:val="007D3ED6"/>
    <w:rsid w:val="007E3AC3"/>
    <w:rsid w:val="008249BF"/>
    <w:rsid w:val="0083395A"/>
    <w:rsid w:val="008559D5"/>
    <w:rsid w:val="008F4C57"/>
    <w:rsid w:val="00920BD1"/>
    <w:rsid w:val="00931CA1"/>
    <w:rsid w:val="0094367E"/>
    <w:rsid w:val="00953F93"/>
    <w:rsid w:val="0096368E"/>
    <w:rsid w:val="009C142F"/>
    <w:rsid w:val="00A33A3E"/>
    <w:rsid w:val="00AC3674"/>
    <w:rsid w:val="00AF31BD"/>
    <w:rsid w:val="00B20F4F"/>
    <w:rsid w:val="00B26923"/>
    <w:rsid w:val="00B269F1"/>
    <w:rsid w:val="00B4568A"/>
    <w:rsid w:val="00B86291"/>
    <w:rsid w:val="00BA6F61"/>
    <w:rsid w:val="00CB76DD"/>
    <w:rsid w:val="00DB7A81"/>
    <w:rsid w:val="00DF095F"/>
    <w:rsid w:val="00DF13D5"/>
    <w:rsid w:val="00DF6920"/>
    <w:rsid w:val="00F4029D"/>
    <w:rsid w:val="00F6133D"/>
    <w:rsid w:val="00F73438"/>
    <w:rsid w:val="00FD5FA1"/>
    <w:rsid w:val="01CFE631"/>
    <w:rsid w:val="045EA69F"/>
    <w:rsid w:val="0545E6B7"/>
    <w:rsid w:val="09225310"/>
    <w:rsid w:val="09CDB08D"/>
    <w:rsid w:val="0E303832"/>
    <w:rsid w:val="0EDB259B"/>
    <w:rsid w:val="16C40EB9"/>
    <w:rsid w:val="2109FCA3"/>
    <w:rsid w:val="234EF999"/>
    <w:rsid w:val="278A5E37"/>
    <w:rsid w:val="279FC7AF"/>
    <w:rsid w:val="2F38F060"/>
    <w:rsid w:val="32E4C9C0"/>
    <w:rsid w:val="3E9F1049"/>
    <w:rsid w:val="4D6C6E4A"/>
    <w:rsid w:val="570F1797"/>
    <w:rsid w:val="7AE512F7"/>
    <w:rsid w:val="7F0BB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376440"/>
  <w15:chartTrackingRefBased/>
  <w15:docId w15:val="{8E221A73-7840-415F-A244-E5BE6B53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63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B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076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076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07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1B0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0763"/>
    <w:rPr>
      <w:rFonts w:ascii="Tahoma" w:eastAsia="Times New Roman" w:hAnsi="Tahoma" w:cs="Tahoma"/>
      <w:sz w:val="20"/>
      <w:szCs w:val="20"/>
    </w:rPr>
  </w:style>
  <w:style w:type="paragraph" w:customStyle="1" w:styleId="CovFormText">
    <w:name w:val="Cov_Form Text"/>
    <w:basedOn w:val="Header"/>
    <w:rsid w:val="001B0763"/>
    <w:pPr>
      <w:tabs>
        <w:tab w:val="clear" w:pos="4320"/>
        <w:tab w:val="clear" w:pos="8640"/>
      </w:tabs>
      <w:spacing w:before="60" w:after="60"/>
    </w:pPr>
    <w:rPr>
      <w:rFonts w:ascii="Arial" w:hAnsi="Arial" w:cs="Times New Roman"/>
      <w:noProof/>
      <w:sz w:val="18"/>
    </w:rPr>
  </w:style>
  <w:style w:type="paragraph" w:styleId="BodyText">
    <w:name w:val="Body Text"/>
    <w:basedOn w:val="Normal"/>
    <w:link w:val="BodyTextChar"/>
    <w:rsid w:val="001B0763"/>
    <w:pPr>
      <w:spacing w:before="120" w:after="120" w:line="280" w:lineRule="exact"/>
    </w:pPr>
    <w:rPr>
      <w:rFonts w:ascii="Arial" w:hAnsi="Arial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B076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1B07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63"/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532A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AD8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D8"/>
    <w:rPr>
      <w:rFonts w:ascii="Tahoma" w:eastAsiaTheme="minorEastAsia" w:hAnsi="Tahoma" w:cs="Tahoma"/>
      <w:sz w:val="16"/>
      <w:szCs w:val="16"/>
    </w:rPr>
  </w:style>
  <w:style w:type="paragraph" w:styleId="ListNumber">
    <w:name w:val="List Number"/>
    <w:basedOn w:val="Normal"/>
    <w:uiPriority w:val="99"/>
    <w:unhideWhenUsed/>
    <w:rsid w:val="00012AD8"/>
    <w:pPr>
      <w:numPr>
        <w:numId w:val="7"/>
      </w:numPr>
      <w:tabs>
        <w:tab w:val="clear" w:pos="360"/>
      </w:tabs>
      <w:spacing w:before="120"/>
      <w:ind w:left="720"/>
    </w:pPr>
    <w:rPr>
      <w:rFonts w:asciiTheme="minorHAnsi" w:eastAsiaTheme="minorEastAsia" w:hAnsiTheme="minorHAnsi" w:cstheme="minorBidi"/>
      <w:sz w:val="24"/>
      <w:szCs w:val="22"/>
    </w:rPr>
  </w:style>
  <w:style w:type="table" w:styleId="TableGrid">
    <w:name w:val="Table Grid"/>
    <w:basedOn w:val="TableNormal"/>
    <w:uiPriority w:val="39"/>
    <w:rsid w:val="00C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eastAsia="Times New Roman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Khari Grant</cp:lastModifiedBy>
  <cp:revision>7</cp:revision>
  <dcterms:created xsi:type="dcterms:W3CDTF">2021-06-10T21:11:00Z</dcterms:created>
  <dcterms:modified xsi:type="dcterms:W3CDTF">2021-06-25T15:02:00Z</dcterms:modified>
</cp:coreProperties>
</file>