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C8465" w14:textId="42E69950" w:rsidR="00EC24D7" w:rsidRPr="001014DF" w:rsidRDefault="00117C35" w:rsidP="00EC24D7">
      <w:pPr>
        <w:spacing w:after="0"/>
        <w:jc w:val="center"/>
        <w:rPr>
          <w:rFonts w:ascii="Raleway SemiBold" w:hAnsi="Raleway SemiBold" w:cs="Times New Roman"/>
          <w:b/>
          <w:bCs/>
          <w:sz w:val="44"/>
          <w:szCs w:val="44"/>
        </w:rPr>
      </w:pPr>
      <w:r w:rsidRPr="001014DF">
        <w:rPr>
          <w:rFonts w:ascii="Raleway SemiBold" w:hAnsi="Raleway SemiBold" w:cs="Times New Roman"/>
          <w:b/>
          <w:bCs/>
          <w:sz w:val="44"/>
          <w:szCs w:val="44"/>
        </w:rPr>
        <w:t>Vehicle Purchase &amp; RFPs in the WAP 2021</w:t>
      </w:r>
    </w:p>
    <w:p w14:paraId="6FC0171E" w14:textId="38D3806A" w:rsidR="00EC24D7" w:rsidRPr="001014DF" w:rsidRDefault="00EC24D7" w:rsidP="00EC24D7">
      <w:pPr>
        <w:spacing w:after="120"/>
        <w:jc w:val="center"/>
        <w:rPr>
          <w:rFonts w:ascii="Raleway SemiBold" w:hAnsi="Raleway SemiBold" w:cs="Times New Roman"/>
          <w:sz w:val="36"/>
          <w:szCs w:val="36"/>
        </w:rPr>
      </w:pPr>
      <w:r w:rsidRPr="001014DF">
        <w:rPr>
          <w:rFonts w:ascii="Raleway SemiBold" w:hAnsi="Raleway SemiBold" w:cs="Times New Roman"/>
          <w:sz w:val="36"/>
          <w:szCs w:val="36"/>
        </w:rPr>
        <w:t xml:space="preserve">NASCSP Grantee Information Request – </w:t>
      </w:r>
      <w:r w:rsidR="00117C35" w:rsidRPr="001014DF">
        <w:rPr>
          <w:rFonts w:ascii="Raleway SemiBold" w:hAnsi="Raleway SemiBold" w:cs="Times New Roman"/>
          <w:sz w:val="36"/>
          <w:szCs w:val="36"/>
        </w:rPr>
        <w:t>June</w:t>
      </w:r>
      <w:r w:rsidRPr="001014DF">
        <w:rPr>
          <w:rFonts w:ascii="Raleway SemiBold" w:hAnsi="Raleway SemiBold" w:cs="Times New Roman"/>
          <w:sz w:val="36"/>
          <w:szCs w:val="36"/>
        </w:rPr>
        <w:t xml:space="preserve"> 2021</w:t>
      </w:r>
    </w:p>
    <w:p w14:paraId="78F7FC60" w14:textId="2099B956" w:rsidR="00132CB5" w:rsidRPr="009972DD" w:rsidRDefault="00B140CF" w:rsidP="009972DD">
      <w:pPr>
        <w:spacing w:after="120" w:line="360" w:lineRule="auto"/>
        <w:rPr>
          <w:rFonts w:ascii="Sabon Next LT" w:hAnsi="Sabon Next LT" w:cs="Sabon Next LT"/>
          <w:sz w:val="24"/>
          <w:szCs w:val="24"/>
        </w:rPr>
      </w:pPr>
      <w:r w:rsidRPr="009972DD">
        <w:rPr>
          <w:rFonts w:ascii="Sabon Next LT" w:hAnsi="Sabon Next LT" w:cs="Sabon Next LT"/>
          <w:sz w:val="24"/>
          <w:szCs w:val="24"/>
        </w:rPr>
        <w:t>Twenty-</w:t>
      </w:r>
      <w:r w:rsidR="00117C35" w:rsidRPr="009972DD">
        <w:rPr>
          <w:rFonts w:ascii="Sabon Next LT" w:hAnsi="Sabon Next LT" w:cs="Sabon Next LT"/>
          <w:sz w:val="24"/>
          <w:szCs w:val="24"/>
        </w:rPr>
        <w:t>four</w:t>
      </w:r>
      <w:r w:rsidR="00CA4F76" w:rsidRPr="009972DD">
        <w:rPr>
          <w:rFonts w:ascii="Sabon Next LT" w:hAnsi="Sabon Next LT" w:cs="Sabon Next LT"/>
          <w:sz w:val="24"/>
          <w:szCs w:val="24"/>
        </w:rPr>
        <w:t xml:space="preserve"> WAP Grantees responded to a NASCSP information request regarding </w:t>
      </w:r>
      <w:r w:rsidR="00573B56" w:rsidRPr="009972DD">
        <w:rPr>
          <w:rFonts w:ascii="Sabon Next LT" w:hAnsi="Sabon Next LT" w:cs="Sabon Next LT"/>
          <w:sz w:val="24"/>
          <w:szCs w:val="24"/>
        </w:rPr>
        <w:t>their policies for the procurement of vehicles</w:t>
      </w:r>
      <w:r w:rsidR="00DB1A2B" w:rsidRPr="009972DD">
        <w:rPr>
          <w:rFonts w:ascii="Sabon Next LT" w:hAnsi="Sabon Next LT" w:cs="Sabon Next LT"/>
          <w:sz w:val="24"/>
          <w:szCs w:val="24"/>
        </w:rPr>
        <w:t>.</w:t>
      </w:r>
    </w:p>
    <w:p w14:paraId="05558B83" w14:textId="1537C234" w:rsidR="0017480F" w:rsidRPr="009972DD" w:rsidRDefault="00573B56" w:rsidP="009972DD">
      <w:pPr>
        <w:spacing w:line="360" w:lineRule="auto"/>
        <w:rPr>
          <w:rFonts w:ascii="Sabon Next LT" w:hAnsi="Sabon Next LT" w:cs="Sabon Next LT"/>
          <w:sz w:val="24"/>
          <w:szCs w:val="24"/>
        </w:rPr>
      </w:pPr>
      <w:r w:rsidRPr="009972DD">
        <w:rPr>
          <w:noProof/>
          <w:sz w:val="24"/>
          <w:szCs w:val="24"/>
        </w:rPr>
        <w:drawing>
          <wp:anchor distT="0" distB="0" distL="114300" distR="114300" simplePos="0" relativeHeight="251661312" behindDoc="0" locked="0" layoutInCell="1" allowOverlap="1" wp14:anchorId="3E6CD761" wp14:editId="25671C7D">
            <wp:simplePos x="0" y="0"/>
            <wp:positionH relativeFrom="column">
              <wp:posOffset>0</wp:posOffset>
            </wp:positionH>
            <wp:positionV relativeFrom="paragraph">
              <wp:posOffset>1762760</wp:posOffset>
            </wp:positionV>
            <wp:extent cx="6858000" cy="2468880"/>
            <wp:effectExtent l="0" t="0" r="0" b="7620"/>
            <wp:wrapTopAndBottom/>
            <wp:docPr id="2" name="Chart 2">
              <a:extLst xmlns:a="http://schemas.openxmlformats.org/drawingml/2006/main">
                <a:ext uri="{FF2B5EF4-FFF2-40B4-BE49-F238E27FC236}">
                  <a16:creationId xmlns:a16="http://schemas.microsoft.com/office/drawing/2014/main" id="{14D6D52C-A76E-445D-897A-8D03D7EDB7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9972DD">
        <w:rPr>
          <w:rFonts w:ascii="Sabon Next LT" w:hAnsi="Sabon Next LT" w:cs="Sabon Next LT"/>
          <w:b/>
          <w:bCs/>
          <w:sz w:val="24"/>
          <w:szCs w:val="24"/>
        </w:rPr>
        <w:t>Funding Sources</w:t>
      </w:r>
      <w:r w:rsidR="000601A4" w:rsidRPr="009972DD">
        <w:rPr>
          <w:rFonts w:ascii="Sabon Next LT" w:hAnsi="Sabon Next LT" w:cs="Sabon Next LT"/>
          <w:b/>
          <w:bCs/>
          <w:sz w:val="24"/>
          <w:szCs w:val="24"/>
        </w:rPr>
        <w:t xml:space="preserve">: </w:t>
      </w:r>
      <w:r w:rsidR="001161A7" w:rsidRPr="009972DD">
        <w:rPr>
          <w:rFonts w:ascii="Sabon Next LT" w:hAnsi="Sabon Next LT" w:cs="Sabon Next LT"/>
          <w:sz w:val="24"/>
          <w:szCs w:val="24"/>
        </w:rPr>
        <w:t xml:space="preserve">Grantees </w:t>
      </w:r>
      <w:r w:rsidR="0059260C" w:rsidRPr="009972DD">
        <w:rPr>
          <w:rFonts w:ascii="Sabon Next LT" w:hAnsi="Sabon Next LT" w:cs="Sabon Next LT"/>
          <w:sz w:val="24"/>
          <w:szCs w:val="24"/>
        </w:rPr>
        <w:t xml:space="preserve">were asked to </w:t>
      </w:r>
      <w:r w:rsidR="00DB1A2B" w:rsidRPr="009972DD">
        <w:rPr>
          <w:rFonts w:ascii="Sabon Next LT" w:hAnsi="Sabon Next LT" w:cs="Sabon Next LT"/>
          <w:sz w:val="24"/>
          <w:szCs w:val="24"/>
        </w:rPr>
        <w:t xml:space="preserve">provide the </w:t>
      </w:r>
      <w:r w:rsidRPr="009972DD">
        <w:rPr>
          <w:rFonts w:ascii="Sabon Next LT" w:hAnsi="Sabon Next LT" w:cs="Sabon Next LT"/>
          <w:sz w:val="24"/>
          <w:szCs w:val="24"/>
        </w:rPr>
        <w:t xml:space="preserve">source of funding for vehicle purchases in their state. </w:t>
      </w:r>
      <w:r w:rsidR="0017480F" w:rsidRPr="009972DD">
        <w:rPr>
          <w:rFonts w:ascii="Sabon Next LT" w:hAnsi="Sabon Next LT" w:cs="Sabon Next LT"/>
          <w:sz w:val="24"/>
          <w:szCs w:val="24"/>
        </w:rPr>
        <w:t>Most states utilized some combination of federal funding, including DOE &amp; LIHEAP funds. 29% of respondents also utilized state funds, either solely or in combination with federal funds. Of those who utilized DOE funding, roughly one in five used t</w:t>
      </w:r>
      <w:r w:rsidR="0017480F" w:rsidRPr="009972DD">
        <w:rPr>
          <w:rFonts w:ascii="Sabon Next LT" w:hAnsi="Sabon Next LT" w:cs="Sabon Next LT"/>
          <w:sz w:val="24"/>
          <w:szCs w:val="24"/>
        </w:rPr>
        <w:t xml:space="preserve">he </w:t>
      </w:r>
      <w:r w:rsidR="0017480F" w:rsidRPr="009972DD">
        <w:rPr>
          <w:rFonts w:ascii="Sabon Next LT" w:hAnsi="Sabon Next LT" w:cs="Sabon Next LT"/>
          <w:sz w:val="24"/>
          <w:szCs w:val="24"/>
        </w:rPr>
        <w:t>optional</w:t>
      </w:r>
      <w:r w:rsidR="0017480F" w:rsidRPr="009972DD">
        <w:rPr>
          <w:rFonts w:ascii="Sabon Next LT" w:hAnsi="Sabon Next LT" w:cs="Sabon Next LT"/>
          <w:sz w:val="24"/>
          <w:szCs w:val="24"/>
        </w:rPr>
        <w:t xml:space="preserve"> </w:t>
      </w:r>
      <w:r w:rsidR="0017480F" w:rsidRPr="009972DD">
        <w:rPr>
          <w:rFonts w:ascii="Sabon Next LT" w:hAnsi="Sabon Next LT" w:cs="Sabon Next LT"/>
          <w:sz w:val="24"/>
          <w:szCs w:val="24"/>
        </w:rPr>
        <w:t xml:space="preserve">DOE </w:t>
      </w:r>
      <w:r w:rsidR="0017480F" w:rsidRPr="009972DD">
        <w:rPr>
          <w:rFonts w:ascii="Sabon Next LT" w:hAnsi="Sabon Next LT" w:cs="Sabon Next LT"/>
          <w:sz w:val="24"/>
          <w:szCs w:val="24"/>
        </w:rPr>
        <w:t>Vehicle and Equipment Budget Category</w:t>
      </w:r>
      <w:r w:rsidR="0017480F" w:rsidRPr="009972DD">
        <w:rPr>
          <w:rFonts w:ascii="Sabon Next LT" w:hAnsi="Sabon Next LT" w:cs="Sabon Next LT"/>
          <w:sz w:val="24"/>
          <w:szCs w:val="24"/>
        </w:rPr>
        <w:t xml:space="preserve"> rather than absorbing vehicle costs into the program operations budget.</w:t>
      </w:r>
    </w:p>
    <w:p w14:paraId="1A7B79C1" w14:textId="17220ACD" w:rsidR="006D68F2" w:rsidRPr="009972DD" w:rsidRDefault="006D68F2" w:rsidP="009972DD">
      <w:pPr>
        <w:spacing w:line="360" w:lineRule="auto"/>
        <w:rPr>
          <w:rFonts w:ascii="Sabon Next LT" w:hAnsi="Sabon Next LT" w:cs="Sabon Next LT"/>
          <w:noProof/>
          <w:sz w:val="24"/>
          <w:szCs w:val="24"/>
        </w:rPr>
      </w:pPr>
    </w:p>
    <w:p w14:paraId="4C7E75EE" w14:textId="33B1CB56" w:rsidR="001A552E" w:rsidRPr="009972DD" w:rsidRDefault="0017480F" w:rsidP="009972DD">
      <w:pPr>
        <w:spacing w:line="360" w:lineRule="auto"/>
        <w:rPr>
          <w:noProof/>
          <w:sz w:val="24"/>
          <w:szCs w:val="24"/>
        </w:rPr>
      </w:pPr>
      <w:r w:rsidRPr="009972DD">
        <w:rPr>
          <w:rFonts w:ascii="Sabon Next LT" w:hAnsi="Sabon Next LT" w:cs="Sabon Next LT"/>
          <w:b/>
          <w:bCs/>
          <w:sz w:val="24"/>
          <w:szCs w:val="24"/>
        </w:rPr>
        <w:t>Purchasing Methods</w:t>
      </w:r>
      <w:r w:rsidR="000601A4" w:rsidRPr="009972DD">
        <w:rPr>
          <w:rFonts w:ascii="Sabon Next LT" w:hAnsi="Sabon Next LT" w:cs="Sabon Next LT"/>
          <w:b/>
          <w:bCs/>
          <w:sz w:val="24"/>
          <w:szCs w:val="24"/>
        </w:rPr>
        <w:t xml:space="preserve">: </w:t>
      </w:r>
      <w:r w:rsidR="009139CE" w:rsidRPr="009972DD">
        <w:rPr>
          <w:rFonts w:ascii="Sabon Next LT" w:hAnsi="Sabon Next LT" w:cs="Sabon Next LT"/>
          <w:sz w:val="24"/>
          <w:szCs w:val="24"/>
        </w:rPr>
        <w:t>When asked to describe how vehicles are purchased, nearly half of grantees described using a State Procurement Office. A third of respondents issue their own RFPs directly, and the remaining grantees do not purchase vehicles. Two thirds of Grantees that do not purchase vehicles themselves described their subgrantee’s purchase process as either Grantee reimbursement, RFPs, or cooperative procurement programs. Additionally, only one in five Grantees reported leasing vehicles</w:t>
      </w:r>
      <w:r w:rsidR="00665D90" w:rsidRPr="009972DD">
        <w:rPr>
          <w:rFonts w:ascii="Sabon Next LT" w:hAnsi="Sabon Next LT" w:cs="Sabon Next LT"/>
          <w:sz w:val="24"/>
          <w:szCs w:val="24"/>
        </w:rPr>
        <w:t xml:space="preserve"> and one in three reported specific procedures for vehicle disposition.</w:t>
      </w:r>
    </w:p>
    <w:p w14:paraId="23F603BC" w14:textId="3F38005B" w:rsidR="0017480F" w:rsidRPr="009972DD" w:rsidRDefault="0017480F" w:rsidP="009972DD">
      <w:pPr>
        <w:spacing w:line="360" w:lineRule="auto"/>
        <w:rPr>
          <w:noProof/>
          <w:sz w:val="24"/>
          <w:szCs w:val="24"/>
        </w:rPr>
      </w:pPr>
      <w:r w:rsidRPr="009972DD">
        <w:rPr>
          <w:noProof/>
          <w:sz w:val="24"/>
          <w:szCs w:val="24"/>
        </w:rPr>
        <w:lastRenderedPageBreak/>
        <w:drawing>
          <wp:anchor distT="0" distB="0" distL="114300" distR="114300" simplePos="0" relativeHeight="251662336" behindDoc="0" locked="0" layoutInCell="1" allowOverlap="1" wp14:anchorId="6272775A" wp14:editId="666A74D0">
            <wp:simplePos x="0" y="0"/>
            <wp:positionH relativeFrom="column">
              <wp:posOffset>0</wp:posOffset>
            </wp:positionH>
            <wp:positionV relativeFrom="paragraph">
              <wp:posOffset>635</wp:posOffset>
            </wp:positionV>
            <wp:extent cx="6858000" cy="2468880"/>
            <wp:effectExtent l="0" t="0" r="0" b="7620"/>
            <wp:wrapTopAndBottom/>
            <wp:docPr id="5" name="Chart 5">
              <a:extLst xmlns:a="http://schemas.openxmlformats.org/drawingml/2006/main">
                <a:ext uri="{FF2B5EF4-FFF2-40B4-BE49-F238E27FC236}">
                  <a16:creationId xmlns:a16="http://schemas.microsoft.com/office/drawing/2014/main" id="{F517D34E-64EF-484C-A99B-4F62DFCDA0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75E2351" w14:textId="6087A0F4" w:rsidR="001014DF" w:rsidRPr="009972DD" w:rsidRDefault="001014DF" w:rsidP="009972DD">
      <w:pPr>
        <w:spacing w:line="360" w:lineRule="auto"/>
        <w:rPr>
          <w:rFonts w:ascii="Sabon Next LT" w:hAnsi="Sabon Next LT" w:cs="Sabon Next LT"/>
          <w:sz w:val="24"/>
          <w:szCs w:val="24"/>
        </w:rPr>
      </w:pPr>
      <w:r w:rsidRPr="009972DD">
        <w:rPr>
          <w:noProof/>
          <w:sz w:val="24"/>
          <w:szCs w:val="24"/>
        </w:rPr>
        <w:drawing>
          <wp:anchor distT="0" distB="0" distL="114300" distR="114300" simplePos="0" relativeHeight="251663360" behindDoc="0" locked="0" layoutInCell="1" allowOverlap="1" wp14:anchorId="2B8B1BBB" wp14:editId="2C738DDE">
            <wp:simplePos x="0" y="0"/>
            <wp:positionH relativeFrom="column">
              <wp:posOffset>0</wp:posOffset>
            </wp:positionH>
            <wp:positionV relativeFrom="paragraph">
              <wp:posOffset>1518285</wp:posOffset>
            </wp:positionV>
            <wp:extent cx="6858000" cy="2468880"/>
            <wp:effectExtent l="0" t="0" r="0" b="7620"/>
            <wp:wrapTopAndBottom/>
            <wp:docPr id="1" name="Chart 1">
              <a:extLst xmlns:a="http://schemas.openxmlformats.org/drawingml/2006/main">
                <a:ext uri="{FF2B5EF4-FFF2-40B4-BE49-F238E27FC236}">
                  <a16:creationId xmlns:a16="http://schemas.microsoft.com/office/drawing/2014/main" id="{A7FA8AE6-581F-4398-9113-FE26B015E1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9972DD">
        <w:rPr>
          <w:rFonts w:ascii="Sabon Next LT" w:hAnsi="Sabon Next LT" w:cs="Sabon Next LT"/>
          <w:b/>
          <w:bCs/>
          <w:sz w:val="24"/>
          <w:szCs w:val="24"/>
        </w:rPr>
        <w:t>Requests for Proposal</w:t>
      </w:r>
      <w:r w:rsidR="003506C5" w:rsidRPr="009972DD">
        <w:rPr>
          <w:rFonts w:ascii="Sabon Next LT" w:hAnsi="Sabon Next LT" w:cs="Sabon Next LT"/>
          <w:b/>
          <w:bCs/>
          <w:sz w:val="24"/>
          <w:szCs w:val="24"/>
        </w:rPr>
        <w:t xml:space="preserve">: </w:t>
      </w:r>
      <w:r w:rsidRPr="009972DD">
        <w:rPr>
          <w:rFonts w:ascii="Sabon Next LT" w:hAnsi="Sabon Next LT" w:cs="Sabon Next LT"/>
          <w:sz w:val="24"/>
          <w:szCs w:val="24"/>
        </w:rPr>
        <w:t>Grantees were asked to enumerate what RFPs they released in the previous two years. Of the 24 respondents, 10 did not report any RFPs, and the remaining 14 reported RFPs of the types detailed below. RFPs related to training, contractors, and monitoring were the most common, while only two Grantees reported RFPs for vehicle purchases.</w:t>
      </w:r>
    </w:p>
    <w:sectPr w:rsidR="001014DF" w:rsidRPr="009972DD" w:rsidSect="00EC24D7">
      <w:head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113A" w14:textId="77777777" w:rsidR="00E66BFE" w:rsidRDefault="00E66BFE" w:rsidP="005A7E1A">
      <w:pPr>
        <w:spacing w:after="0" w:line="240" w:lineRule="auto"/>
      </w:pPr>
      <w:r>
        <w:separator/>
      </w:r>
    </w:p>
  </w:endnote>
  <w:endnote w:type="continuationSeparator" w:id="0">
    <w:p w14:paraId="540141D9" w14:textId="77777777" w:rsidR="00E66BFE" w:rsidRDefault="00E66BFE" w:rsidP="005A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leway SemiBold">
    <w:panose1 w:val="00000000000000000000"/>
    <w:charset w:val="00"/>
    <w:family w:val="swiss"/>
    <w:pitch w:val="variable"/>
    <w:sig w:usb0="A00002FF" w:usb1="5000205B" w:usb2="00000000" w:usb3="00000000" w:csb0="00000097" w:csb1="00000000"/>
  </w:font>
  <w:font w:name="Sabon Next LT">
    <w:altName w:val="Sabon Next LT"/>
    <w:charset w:val="00"/>
    <w:family w:val="auto"/>
    <w:pitch w:val="variable"/>
    <w:sig w:usb0="A11526FF" w:usb1="D000000B" w:usb2="0001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5454" w14:textId="77777777" w:rsidR="00E66BFE" w:rsidRDefault="00E66BFE" w:rsidP="005A7E1A">
      <w:pPr>
        <w:spacing w:after="0" w:line="240" w:lineRule="auto"/>
      </w:pPr>
      <w:r>
        <w:separator/>
      </w:r>
    </w:p>
  </w:footnote>
  <w:footnote w:type="continuationSeparator" w:id="0">
    <w:p w14:paraId="569FF256" w14:textId="77777777" w:rsidR="00E66BFE" w:rsidRDefault="00E66BFE" w:rsidP="005A7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F793" w14:textId="2318AC53" w:rsidR="00EC24D7" w:rsidRDefault="00EC24D7">
    <w:pPr>
      <w:pStyle w:val="Header"/>
    </w:pPr>
    <w:r>
      <w:rPr>
        <w:noProof/>
      </w:rPr>
      <w:drawing>
        <wp:anchor distT="0" distB="0" distL="114300" distR="114300" simplePos="0" relativeHeight="251660288" behindDoc="0" locked="0" layoutInCell="1" allowOverlap="1" wp14:anchorId="0497BF7A" wp14:editId="3C59C254">
          <wp:simplePos x="0" y="0"/>
          <wp:positionH relativeFrom="column">
            <wp:posOffset>0</wp:posOffset>
          </wp:positionH>
          <wp:positionV relativeFrom="paragraph">
            <wp:posOffset>-292100</wp:posOffset>
          </wp:positionV>
          <wp:extent cx="1878124" cy="419100"/>
          <wp:effectExtent l="0" t="0" r="0" b="0"/>
          <wp:wrapSquare wrapText="bothSides"/>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extLst>
                      <a:ext uri="{28A0092B-C50C-407E-A947-70E740481C1C}">
                        <a14:useLocalDpi xmlns:a14="http://schemas.microsoft.com/office/drawing/2010/main" val="0"/>
                      </a:ext>
                    </a:extLst>
                  </a:blip>
                  <a:srcRect t="14588" b="19075"/>
                  <a:stretch/>
                </pic:blipFill>
                <pic:spPr bwMode="auto">
                  <a:xfrm>
                    <a:off x="0" y="0"/>
                    <a:ext cx="1878124" cy="41910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15B5" w14:textId="0E0BED2E" w:rsidR="00EC24D7" w:rsidRDefault="00EC24D7">
    <w:pPr>
      <w:pStyle w:val="Header"/>
    </w:pPr>
    <w:r>
      <w:rPr>
        <w:noProof/>
      </w:rPr>
      <w:drawing>
        <wp:anchor distT="0" distB="0" distL="114300" distR="114300" simplePos="0" relativeHeight="251658240" behindDoc="0" locked="0" layoutInCell="1" allowOverlap="1" wp14:anchorId="7A96C1F8" wp14:editId="6667AADE">
          <wp:simplePos x="0" y="0"/>
          <wp:positionH relativeFrom="column">
            <wp:posOffset>0</wp:posOffset>
          </wp:positionH>
          <wp:positionV relativeFrom="paragraph">
            <wp:posOffset>-330104</wp:posOffset>
          </wp:positionV>
          <wp:extent cx="1878124" cy="41910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rotWithShape="1">
                  <a:blip r:embed="rId1">
                    <a:extLst>
                      <a:ext uri="{28A0092B-C50C-407E-A947-70E740481C1C}">
                        <a14:useLocalDpi xmlns:a14="http://schemas.microsoft.com/office/drawing/2010/main" val="0"/>
                      </a:ext>
                    </a:extLst>
                  </a:blip>
                  <a:srcRect t="14588" b="19075"/>
                  <a:stretch/>
                </pic:blipFill>
                <pic:spPr bwMode="auto">
                  <a:xfrm>
                    <a:off x="0" y="0"/>
                    <a:ext cx="1878124" cy="4191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C18B6"/>
    <w:multiLevelType w:val="hybridMultilevel"/>
    <w:tmpl w:val="6AEA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A3F81"/>
    <w:multiLevelType w:val="hybridMultilevel"/>
    <w:tmpl w:val="0114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86A3E"/>
    <w:multiLevelType w:val="hybridMultilevel"/>
    <w:tmpl w:val="4EF0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76"/>
    <w:rsid w:val="000578F9"/>
    <w:rsid w:val="000601A4"/>
    <w:rsid w:val="000979BA"/>
    <w:rsid w:val="001014DF"/>
    <w:rsid w:val="001161A7"/>
    <w:rsid w:val="00117C35"/>
    <w:rsid w:val="00132CB5"/>
    <w:rsid w:val="00171F36"/>
    <w:rsid w:val="0017480F"/>
    <w:rsid w:val="00186214"/>
    <w:rsid w:val="001A552E"/>
    <w:rsid w:val="001B1EFD"/>
    <w:rsid w:val="001C32F2"/>
    <w:rsid w:val="001F68C3"/>
    <w:rsid w:val="002246B0"/>
    <w:rsid w:val="002927D6"/>
    <w:rsid w:val="002E2DA3"/>
    <w:rsid w:val="003506C5"/>
    <w:rsid w:val="003A4083"/>
    <w:rsid w:val="003F187C"/>
    <w:rsid w:val="004C421F"/>
    <w:rsid w:val="00571E5C"/>
    <w:rsid w:val="00573B56"/>
    <w:rsid w:val="0059260C"/>
    <w:rsid w:val="005A7E1A"/>
    <w:rsid w:val="005D60F4"/>
    <w:rsid w:val="0064559D"/>
    <w:rsid w:val="006613D6"/>
    <w:rsid w:val="00665D90"/>
    <w:rsid w:val="006B36B1"/>
    <w:rsid w:val="006B5FFA"/>
    <w:rsid w:val="006D68F2"/>
    <w:rsid w:val="00770C4A"/>
    <w:rsid w:val="007919FF"/>
    <w:rsid w:val="007A1F83"/>
    <w:rsid w:val="00835CEF"/>
    <w:rsid w:val="00894891"/>
    <w:rsid w:val="009139CE"/>
    <w:rsid w:val="00932246"/>
    <w:rsid w:val="009972DD"/>
    <w:rsid w:val="009F4E19"/>
    <w:rsid w:val="00A46E9F"/>
    <w:rsid w:val="00B140CF"/>
    <w:rsid w:val="00BD5F52"/>
    <w:rsid w:val="00C26049"/>
    <w:rsid w:val="00C7379A"/>
    <w:rsid w:val="00CA4F76"/>
    <w:rsid w:val="00DA113F"/>
    <w:rsid w:val="00DB1A2B"/>
    <w:rsid w:val="00DD4995"/>
    <w:rsid w:val="00DF415F"/>
    <w:rsid w:val="00E02206"/>
    <w:rsid w:val="00E2653E"/>
    <w:rsid w:val="00E270DF"/>
    <w:rsid w:val="00E544BD"/>
    <w:rsid w:val="00E66715"/>
    <w:rsid w:val="00E66BFE"/>
    <w:rsid w:val="00EC24D7"/>
    <w:rsid w:val="00EC35FD"/>
    <w:rsid w:val="00EE6F1F"/>
    <w:rsid w:val="00F173CC"/>
    <w:rsid w:val="00F314DA"/>
    <w:rsid w:val="00FD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382B9"/>
  <w15:chartTrackingRefBased/>
  <w15:docId w15:val="{C6A3AF50-0577-45E6-BEE5-6581DE1F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59D"/>
    <w:pPr>
      <w:ind w:left="720"/>
      <w:contextualSpacing/>
    </w:pPr>
  </w:style>
  <w:style w:type="table" w:styleId="TableGrid">
    <w:name w:val="Table Grid"/>
    <w:basedOn w:val="TableNormal"/>
    <w:uiPriority w:val="39"/>
    <w:rsid w:val="0059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E1A"/>
  </w:style>
  <w:style w:type="paragraph" w:styleId="Footer">
    <w:name w:val="footer"/>
    <w:basedOn w:val="Normal"/>
    <w:link w:val="FooterChar"/>
    <w:uiPriority w:val="99"/>
    <w:unhideWhenUsed/>
    <w:rsid w:val="005A7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E1A"/>
  </w:style>
  <w:style w:type="table" w:styleId="PlainTable3">
    <w:name w:val="Plain Table 3"/>
    <w:basedOn w:val="TableNormal"/>
    <w:uiPriority w:val="43"/>
    <w:rsid w:val="005A7E1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7E1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D49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gray\Documents\NASCSP%20Work\Communications\WAP%20Communications\NASCSP%20Member%20Peer%20to%20Peer%20Survey%20Request%20Vehicle%20Purchase%20%20RFPs%20in%20the%20WAP%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gray\Documents\NASCSP%20Work\Communications\WAP%20Communications\NASCSP%20Member%20Peer%20to%20Peer%20Survey%20Request%20Vehicle%20Purchase%20%20RFPs%20in%20the%20WAP%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gray\Documents\NASCSP%20Work\Communications\WAP%20Communications\NASCSP%20Member%20Peer%20to%20Peer%20Survey%20Request%20Vehicle%20Purchase%20%20RFPs%20in%20the%20WAP%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Funding Source of Vehicle Purchases</a:t>
            </a:r>
          </a:p>
        </c:rich>
      </c:tx>
      <c:layout>
        <c:manualLayout>
          <c:xMode val="edge"/>
          <c:yMode val="edge"/>
          <c:x val="0.24390830887119683"/>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19924872711910085"/>
          <c:y val="0.1287591378046718"/>
          <c:w val="0.31734497803870726"/>
          <c:h val="0.818734895608216"/>
        </c:manualLayout>
      </c:layout>
      <c:pieChart>
        <c:varyColors val="1"/>
        <c:ser>
          <c:idx val="0"/>
          <c:order val="0"/>
          <c:spPr>
            <a:effectLst>
              <a:outerShdw blurRad="254000" sx="102000" sy="102000" algn="ctr" rotWithShape="0">
                <a:prstClr val="black">
                  <a:alpha val="10000"/>
                </a:prstClr>
              </a:outerShdw>
            </a:effectLst>
          </c:spPr>
          <c:dPt>
            <c:idx val="0"/>
            <c:bubble3D val="0"/>
            <c:spPr>
              <a:solidFill>
                <a:schemeClr val="accent1"/>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1-7234-45F9-BE3E-F5D781621347}"/>
              </c:ext>
            </c:extLst>
          </c:dPt>
          <c:dPt>
            <c:idx val="1"/>
            <c:bubble3D val="0"/>
            <c:spPr>
              <a:solidFill>
                <a:schemeClr val="accent2"/>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3-7234-45F9-BE3E-F5D781621347}"/>
              </c:ext>
            </c:extLst>
          </c:dPt>
          <c:dPt>
            <c:idx val="2"/>
            <c:bubble3D val="0"/>
            <c:spPr>
              <a:solidFill>
                <a:schemeClr val="accent3"/>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5-7234-45F9-BE3E-F5D781621347}"/>
              </c:ext>
            </c:extLst>
          </c:dPt>
          <c:dPt>
            <c:idx val="3"/>
            <c:bubble3D val="0"/>
            <c:spPr>
              <a:solidFill>
                <a:schemeClr val="accent4"/>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7-7234-45F9-BE3E-F5D781621347}"/>
              </c:ext>
            </c:extLst>
          </c:dPt>
          <c:dPt>
            <c:idx val="4"/>
            <c:bubble3D val="0"/>
            <c:spPr>
              <a:solidFill>
                <a:schemeClr val="accent5"/>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9-7234-45F9-BE3E-F5D781621347}"/>
              </c:ext>
            </c:extLst>
          </c:dPt>
          <c:dPt>
            <c:idx val="5"/>
            <c:bubble3D val="0"/>
            <c:spPr>
              <a:solidFill>
                <a:schemeClr val="accent6"/>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B-7234-45F9-BE3E-F5D78162134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Sheet!$B$27:$B$32</c:f>
              <c:strCache>
                <c:ptCount val="6"/>
                <c:pt idx="0">
                  <c:v>Combination of DOE and LIHEAP</c:v>
                </c:pt>
                <c:pt idx="1">
                  <c:v>Combination of Federal and State Funds</c:v>
                </c:pt>
                <c:pt idx="2">
                  <c:v>DOE Funds</c:v>
                </c:pt>
                <c:pt idx="3">
                  <c:v>LIHEAP Funds</c:v>
                </c:pt>
                <c:pt idx="4">
                  <c:v>State Funds</c:v>
                </c:pt>
                <c:pt idx="5">
                  <c:v>Utility Funds</c:v>
                </c:pt>
              </c:strCache>
            </c:strRef>
          </c:cat>
          <c:val>
            <c:numRef>
              <c:f>Sheet!$C$27:$C$32</c:f>
              <c:numCache>
                <c:formatCode>General</c:formatCode>
                <c:ptCount val="6"/>
                <c:pt idx="0">
                  <c:v>7</c:v>
                </c:pt>
                <c:pt idx="1">
                  <c:v>3</c:v>
                </c:pt>
                <c:pt idx="2">
                  <c:v>6</c:v>
                </c:pt>
                <c:pt idx="3">
                  <c:v>3</c:v>
                </c:pt>
                <c:pt idx="4">
                  <c:v>4</c:v>
                </c:pt>
                <c:pt idx="5">
                  <c:v>1</c:v>
                </c:pt>
              </c:numCache>
            </c:numRef>
          </c:val>
          <c:extLst>
            <c:ext xmlns:c16="http://schemas.microsoft.com/office/drawing/2014/chart" uri="{C3380CC4-5D6E-409C-BE32-E72D297353CC}">
              <c16:uniqueId val="{0000000C-7234-45F9-BE3E-F5D78162134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Method of Vehicle Purchase</a:t>
            </a:r>
          </a:p>
        </c:rich>
      </c:tx>
      <c:layout>
        <c:manualLayout>
          <c:xMode val="edge"/>
          <c:yMode val="edge"/>
          <c:x val="0.30143113689736151"/>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2256307573741648"/>
          <c:y val="0.12025481189851268"/>
          <c:w val="0.33060934557695526"/>
          <c:h val="0.82881926217556134"/>
        </c:manualLayout>
      </c:layout>
      <c:pieChart>
        <c:varyColors val="1"/>
        <c:ser>
          <c:idx val="0"/>
          <c:order val="0"/>
          <c:spPr>
            <a:effectLst>
              <a:outerShdw blurRad="254000" sx="102000" sy="102000" algn="ctr" rotWithShape="0">
                <a:prstClr val="black">
                  <a:alpha val="10000"/>
                </a:prstClr>
              </a:outerShdw>
            </a:effectLst>
          </c:spPr>
          <c:dPt>
            <c:idx val="0"/>
            <c:bubble3D val="0"/>
            <c:spPr>
              <a:solidFill>
                <a:schemeClr val="accent1"/>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1-D8A0-47BB-BD67-CFC492F1647E}"/>
              </c:ext>
            </c:extLst>
          </c:dPt>
          <c:dPt>
            <c:idx val="1"/>
            <c:bubble3D val="0"/>
            <c:spPr>
              <a:solidFill>
                <a:schemeClr val="accent2"/>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3-D8A0-47BB-BD67-CFC492F1647E}"/>
              </c:ext>
            </c:extLst>
          </c:dPt>
          <c:dPt>
            <c:idx val="2"/>
            <c:bubble3D val="0"/>
            <c:spPr>
              <a:solidFill>
                <a:schemeClr val="accent3"/>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5-D8A0-47BB-BD67-CFC492F1647E}"/>
              </c:ext>
            </c:extLst>
          </c:dPt>
          <c:dPt>
            <c:idx val="3"/>
            <c:bubble3D val="0"/>
            <c:spPr>
              <a:solidFill>
                <a:schemeClr val="accent6"/>
              </a:solidFill>
              <a:ln>
                <a:noFill/>
              </a:ln>
              <a:effectLst>
                <a:outerShdw blurRad="254000" sx="102000" sy="102000" algn="ctr" rotWithShape="0">
                  <a:prstClr val="black">
                    <a:alpha val="10000"/>
                  </a:prstClr>
                </a:outerShdw>
              </a:effectLst>
            </c:spPr>
            <c:extLst>
              <c:ext xmlns:c16="http://schemas.microsoft.com/office/drawing/2014/chart" uri="{C3380CC4-5D6E-409C-BE32-E72D297353CC}">
                <c16:uniqueId val="{00000007-D8A0-47BB-BD67-CFC492F1647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Sheet!$D$28:$D$31</c:f>
              <c:strCache>
                <c:ptCount val="4"/>
                <c:pt idx="0">
                  <c:v>State Procurement Office</c:v>
                </c:pt>
                <c:pt idx="1">
                  <c:v>Issue RFP directly</c:v>
                </c:pt>
                <c:pt idx="2">
                  <c:v>Subgrantees purchase vehicles</c:v>
                </c:pt>
                <c:pt idx="3">
                  <c:v>Don't purchase vehicles</c:v>
                </c:pt>
              </c:strCache>
            </c:strRef>
          </c:cat>
          <c:val>
            <c:numRef>
              <c:f>Sheet!$E$28:$E$31</c:f>
              <c:numCache>
                <c:formatCode>General</c:formatCode>
                <c:ptCount val="4"/>
                <c:pt idx="0">
                  <c:v>11</c:v>
                </c:pt>
                <c:pt idx="1">
                  <c:v>8</c:v>
                </c:pt>
                <c:pt idx="2">
                  <c:v>3</c:v>
                </c:pt>
                <c:pt idx="3">
                  <c:v>2</c:v>
                </c:pt>
              </c:numCache>
            </c:numRef>
          </c:val>
          <c:extLst>
            <c:ext xmlns:c16="http://schemas.microsoft.com/office/drawing/2014/chart" uri="{C3380CC4-5D6E-409C-BE32-E72D297353CC}">
              <c16:uniqueId val="{00000008-D8A0-47BB-BD67-CFC492F1647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RFP Types, FY18-FY20</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Sheet!$J$27:$N$27</c:f>
              <c:strCache>
                <c:ptCount val="5"/>
                <c:pt idx="0">
                  <c:v>Vehicles</c:v>
                </c:pt>
                <c:pt idx="1">
                  <c:v>Equipment / Materials for WAP (bulk state purchases)</c:v>
                </c:pt>
                <c:pt idx="2">
                  <c:v>Contractors</c:v>
                </c:pt>
                <c:pt idx="3">
                  <c:v>State Monitoring / QCI Support</c:v>
                </c:pt>
                <c:pt idx="4">
                  <c:v>Training Providers</c:v>
                </c:pt>
              </c:strCache>
            </c:strRef>
          </c:cat>
          <c:val>
            <c:numRef>
              <c:f>Sheet!$J$28:$N$28</c:f>
              <c:numCache>
                <c:formatCode>General</c:formatCode>
                <c:ptCount val="5"/>
                <c:pt idx="0">
                  <c:v>2</c:v>
                </c:pt>
                <c:pt idx="1">
                  <c:v>3</c:v>
                </c:pt>
                <c:pt idx="2">
                  <c:v>5</c:v>
                </c:pt>
                <c:pt idx="3">
                  <c:v>5</c:v>
                </c:pt>
                <c:pt idx="4">
                  <c:v>6</c:v>
                </c:pt>
              </c:numCache>
            </c:numRef>
          </c:val>
          <c:extLst>
            <c:ext xmlns:c16="http://schemas.microsoft.com/office/drawing/2014/chart" uri="{C3380CC4-5D6E-409C-BE32-E72D297353CC}">
              <c16:uniqueId val="{00000000-7A71-4810-93DA-950B73C03831}"/>
            </c:ext>
          </c:extLst>
        </c:ser>
        <c:dLbls>
          <c:dLblPos val="inEnd"/>
          <c:showLegendKey val="0"/>
          <c:showVal val="1"/>
          <c:showCatName val="0"/>
          <c:showSerName val="0"/>
          <c:showPercent val="0"/>
          <c:showBubbleSize val="0"/>
        </c:dLbls>
        <c:gapWidth val="65"/>
        <c:axId val="249487136"/>
        <c:axId val="249485824"/>
      </c:barChart>
      <c:catAx>
        <c:axId val="24948713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49485824"/>
        <c:crosses val="autoZero"/>
        <c:auto val="1"/>
        <c:lblAlgn val="ctr"/>
        <c:lblOffset val="100"/>
        <c:noMultiLvlLbl val="0"/>
      </c:catAx>
      <c:valAx>
        <c:axId val="24948582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49487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WAP Template">
      <a:dk1>
        <a:srgbClr val="000000"/>
      </a:dk1>
      <a:lt1>
        <a:srgbClr val="FFFFFF"/>
      </a:lt1>
      <a:dk2>
        <a:srgbClr val="7CC576"/>
      </a:dk2>
      <a:lt2>
        <a:srgbClr val="FFFFFF"/>
      </a:lt2>
      <a:accent1>
        <a:srgbClr val="7CC576"/>
      </a:accent1>
      <a:accent2>
        <a:srgbClr val="63365F"/>
      </a:accent2>
      <a:accent3>
        <a:srgbClr val="338533"/>
      </a:accent3>
      <a:accent4>
        <a:srgbClr val="555555"/>
      </a:accent4>
      <a:accent5>
        <a:srgbClr val="3F87CF"/>
      </a:accent5>
      <a:accent6>
        <a:srgbClr val="B374AD"/>
      </a:accent6>
      <a:hlink>
        <a:srgbClr val="2370CD"/>
      </a:hlink>
      <a:folHlink>
        <a:srgbClr val="87758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Klusmeier</dc:creator>
  <cp:keywords/>
  <dc:description/>
  <cp:lastModifiedBy>NASCSP Staff</cp:lastModifiedBy>
  <cp:revision>6</cp:revision>
  <dcterms:created xsi:type="dcterms:W3CDTF">2021-06-24T14:09:00Z</dcterms:created>
  <dcterms:modified xsi:type="dcterms:W3CDTF">2021-06-24T17:47:00Z</dcterms:modified>
</cp:coreProperties>
</file>