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3BB2" w14:textId="77777777" w:rsidR="00BB59CB" w:rsidRPr="00BB59CB" w:rsidRDefault="00AC2765" w:rsidP="00BB59CB">
      <w:pPr>
        <w:tabs>
          <w:tab w:val="left" w:pos="720"/>
          <w:tab w:val="left" w:pos="1440"/>
          <w:tab w:val="left" w:pos="1950"/>
        </w:tabs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BB59CB">
        <w:rPr>
          <w:b/>
          <w:sz w:val="36"/>
          <w:szCs w:val="36"/>
        </w:rPr>
        <w:t>COMMUNITY SERVICES BLOCK GRANT (CSBG)</w:t>
      </w:r>
    </w:p>
    <w:p w14:paraId="1AD20863" w14:textId="77777777" w:rsidR="00647D0D" w:rsidRDefault="00AC2765" w:rsidP="00BB59CB">
      <w:pPr>
        <w:tabs>
          <w:tab w:val="left" w:pos="720"/>
          <w:tab w:val="left" w:pos="1440"/>
          <w:tab w:val="left" w:pos="1950"/>
        </w:tabs>
        <w:spacing w:after="0"/>
        <w:jc w:val="center"/>
        <w:rPr>
          <w:b/>
          <w:sz w:val="28"/>
          <w:szCs w:val="28"/>
        </w:rPr>
      </w:pPr>
      <w:r w:rsidRPr="00BB59CB">
        <w:rPr>
          <w:b/>
          <w:sz w:val="28"/>
          <w:szCs w:val="28"/>
        </w:rPr>
        <w:t xml:space="preserve">INCOME </w:t>
      </w:r>
      <w:r w:rsidR="00647D0D">
        <w:rPr>
          <w:b/>
          <w:sz w:val="28"/>
          <w:szCs w:val="28"/>
        </w:rPr>
        <w:t xml:space="preserve">ELIGIBILITY DETERMINATION </w:t>
      </w:r>
      <w:r w:rsidRPr="00BB59CB">
        <w:rPr>
          <w:b/>
          <w:sz w:val="28"/>
          <w:szCs w:val="28"/>
        </w:rPr>
        <w:t xml:space="preserve">EXCEPTION </w:t>
      </w:r>
    </w:p>
    <w:p w14:paraId="069886F3" w14:textId="77777777" w:rsidR="00AC2765" w:rsidRPr="00BB59CB" w:rsidRDefault="00BB59CB" w:rsidP="00BB59CB">
      <w:pPr>
        <w:tabs>
          <w:tab w:val="left" w:pos="720"/>
          <w:tab w:val="left" w:pos="1440"/>
          <w:tab w:val="left" w:pos="195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AC2765" w:rsidRPr="00BB59CB">
        <w:rPr>
          <w:b/>
          <w:sz w:val="28"/>
          <w:szCs w:val="28"/>
        </w:rPr>
        <w:t>ELIGIBILITY REVIEW</w:t>
      </w:r>
    </w:p>
    <w:p w14:paraId="247DC89C" w14:textId="77777777" w:rsidR="00AC2765" w:rsidRDefault="00AC2765" w:rsidP="00AC2765">
      <w:pPr>
        <w:tabs>
          <w:tab w:val="left" w:pos="720"/>
          <w:tab w:val="left" w:pos="1440"/>
          <w:tab w:val="left" w:pos="1950"/>
        </w:tabs>
        <w:spacing w:after="0"/>
        <w:rPr>
          <w:b/>
        </w:rPr>
      </w:pPr>
    </w:p>
    <w:p w14:paraId="0885C238" w14:textId="77777777" w:rsidR="00AC2765" w:rsidRPr="00901B36" w:rsidRDefault="00AC2765" w:rsidP="00AC2765">
      <w:pPr>
        <w:tabs>
          <w:tab w:val="left" w:pos="720"/>
          <w:tab w:val="left" w:pos="1440"/>
          <w:tab w:val="left" w:pos="1950"/>
        </w:tabs>
        <w:spacing w:after="0"/>
      </w:pPr>
      <w:r w:rsidRPr="00BF5374">
        <w:rPr>
          <w:b/>
        </w:rPr>
        <w:t>AGENCY NAME</w:t>
      </w:r>
      <w:r>
        <w:t>:</w:t>
      </w:r>
      <w:r>
        <w:tab/>
      </w:r>
      <w:sdt>
        <w:sdtPr>
          <w:rPr>
            <w:rStyle w:val="Style3"/>
          </w:rPr>
          <w:alias w:val="Agency List"/>
          <w:tag w:val="Agency List"/>
          <w:id w:val="-382716751"/>
          <w:placeholder>
            <w:docPart w:val="CC6E0515793A4C2E8C1781D6F6D59D0E"/>
          </w:placeholder>
          <w:showingPlcHdr/>
          <w:dropDownList>
            <w:listItem w:value="52001 Alger-Marquette Community Action Board (AMCAB)"/>
            <w:listItem w:displayText="03002 Community Action of Allegan County (CAA)" w:value="03002 Community Action of Allegan County (CAA)"/>
            <w:listItem w:displayText="31003 Baraga-Houghton-Keweenaw Community Action Agency (BHK)" w:value="31003 Baraga-Houghton-Keweenaw Community Action Agency (BHK)"/>
            <w:listItem w:displayText="33004 Capital Area Community Services (CACS)" w:value="33004 Capital Area Community Services (CACS)"/>
            <w:listItem w:displayText="17006 Chippewa-Luce-Mackinac Community Action &amp; Human Resource Authority, Inc. (CLM)" w:value="17006 Chippewa-Luce-Mackinac Community Action &amp; Human Resource Authority, Inc. (CLM)"/>
            <w:listItem w:displayText="82007 City of Detroit,  MDHHS" w:value="82007 City of Detroit,  MDHHS"/>
            <w:listItem w:displayText="38026 Community Action Agency of Jackson, Lenawee, Hillsdale (JLH)" w:value="38026 Community Action Agency of Jackson, Lenawee, Hillsdale (JLH)"/>
            <w:listItem w:displayText="13005 Community Action Agency of South Central Michigan (CAASM)" w:value="13005 Community Action Agency of South Central Michigan (CAASM)"/>
            <w:listItem w:displayText="22008 Dickinson-Iron Community Services Agency (DICSA)" w:value="22008 Dickinson-Iron Community Services Agency (DICSA)"/>
            <w:listItem w:displayText="82032 Downriver Community Conference (DCC)" w:value="82032 Downriver Community Conference (DCC)"/>
            <w:listItem w:displayText="74009 Blue Water Community Action (BWCA)" w:value="74009 Blue Water Community Action (BWCA)"/>
            <w:listItem w:displayText="59010 EightCAP, Inc.  (8CAP)" w:value="59010 EightCAP, Inc.  (8CAP)"/>
            <w:listItem w:displayText="53011 FiveCAP, Inc (5CAP)" w:value="53011 FiveCAP, Inc (5CAP)"/>
            <w:listItem w:displayText="25012 Genesee County Community Action Resource Department (GCCARD)" w:value="25012 Genesee County Community Action Resource Department (GCCARD)"/>
            <w:listItem w:displayText="27013 Gogebic-Ontonagon Community Action Agency (G-O)" w:value="27013 Gogebic-Ontonagon Community Action Agency (G-O)"/>
            <w:listItem w:displayText="79014 Human Development Commission (HDC)" w:value="79014 Human Development Commission (HDC)"/>
            <w:listItem w:displayText="39015 Kalamazoo County Community Action Agency (KCCAA)" w:value="39015 Kalamazoo County Community Action Agency (KCCAA)"/>
            <w:listItem w:displayText="41016 Kent County Community Action (KCCA)" w:value="41016 Kent County Community Action (KCCA)"/>
            <w:listItem w:displayText="51001 Little River Band of Ottawa Indians" w:value="51001 Little River Band of Ottawa Indians"/>
            <w:listItem w:displayText="50017 Macomb County Community Services Agency (MCCSA)" w:value="50017 Macomb County Community Services Agency (MCCSA)"/>
            <w:listItem w:displayText="21018 Menominee-Delta-Schoolcraft Community Action Agency &amp; Human Resource Authority (MDS)" w:value="21018 Menominee-Delta-Schoolcraft Community Action Agency &amp; Human Resource Authority (MDS)"/>
            <w:listItem w:displayText="33001 Michigan Indian Employment Training Services" w:value="33001 Michigan Indian Employment Training Services"/>
            <w:listItem w:displayText="28001 Michigan Indian Legal Services " w:value="28001 Michigan Indian Legal Services "/>
            <w:listItem w:displayText="18019 Mid-Michigan Community Action Agency, Inc. (MMCAA)" w:value="18019 Mid-Michigan Community Action Agency, Inc. (MMCAA)"/>
            <w:listItem w:displayText="58020 Monroe County Opportunity Program (MCOP)" w:value="58020 Monroe County Opportunity Program (MCOP)"/>
            <w:listItem w:displayText="61021 Muskegon-Oceana Community Action Partnership, Inc (MOCAP)" w:value="61021 Muskegon-Oceana Community Action Partnership, Inc (MOCAP)"/>
            <w:listItem w:displayText="04022 Northeast Michigan Community Service Agency (NEMCSA)" w:value="04022 Northeast Michigan Community Service Agency (NEMCSA)"/>
            <w:listItem w:displayText="28023 Northwest Michigan Community Action Agency (NMCAA)" w:value="28023 Northwest Michigan Community Action Agency (NMCAA)"/>
            <w:listItem w:displayText="63024 Oakland Livingston Human Services Agency (OLHSA)" w:value="63024 Oakland Livingston Human Services Agency (OLHSA)"/>
            <w:listItem w:displayText="70025 Ottawa County Community Action Agency (OCCAA)" w:value="70025 Ottawa County Community Action Agency (OCCAA)"/>
            <w:listItem w:displayText="73027 Saginaw County Community Action Committee, Inc. (SCCAC)" w:value="73027 Saginaw County Community Action Committee, Inc. (SCCAC)"/>
            <w:listItem w:displayText="11028 Southwest Michigan Community Action Agency (SMCAA)" w:value="11028 Southwest Michigan Community Action Agency (SMCAA)"/>
            <w:listItem w:displayText="81029 Washtenaw County Employment, Training &amp; Community Services (WCETCS)" w:value="81029 Washtenaw County Employment, Training &amp; Community Services (WCETCS)"/>
            <w:listItem w:displayText="82002 Wayne Metro - City of Detroit" w:value="82002 Wayne Metro - City of Detroit"/>
            <w:listItem w:displayText="82030 Wayne Metropolitan Community Action Agency (WMCAA)" w:value="82030 Wayne Metropolitan Community Action Agency (WMCAA)"/>
          </w:dropDownList>
        </w:sdtPr>
        <w:sdtEndPr>
          <w:rPr>
            <w:rStyle w:val="Style3"/>
          </w:rPr>
        </w:sdtEndPr>
        <w:sdtContent>
          <w:r w:rsidR="00A6396D">
            <w:rPr>
              <w:rStyle w:val="PlaceholderText"/>
            </w:rPr>
            <w:t>Choose an item.</w:t>
          </w:r>
        </w:sdtContent>
      </w:sdt>
    </w:p>
    <w:p w14:paraId="0E78A501" w14:textId="77777777" w:rsidR="00AC2765" w:rsidRDefault="00AC2765" w:rsidP="00AC2765">
      <w:pPr>
        <w:spacing w:after="0"/>
        <w:rPr>
          <w:b/>
          <w:sz w:val="24"/>
          <w:szCs w:val="24"/>
        </w:rPr>
      </w:pPr>
    </w:p>
    <w:p w14:paraId="455ED5DA" w14:textId="77777777" w:rsidR="00901DA1" w:rsidRDefault="00AC2765" w:rsidP="00AC2765">
      <w:r>
        <w:rPr>
          <w:b/>
          <w:sz w:val="24"/>
          <w:szCs w:val="24"/>
        </w:rPr>
        <w:t xml:space="preserve">BCAEO </w:t>
      </w:r>
      <w:r w:rsidRPr="0010306E">
        <w:rPr>
          <w:b/>
          <w:sz w:val="24"/>
          <w:szCs w:val="24"/>
        </w:rPr>
        <w:t>Monitor</w:t>
      </w:r>
      <w:r>
        <w:t>:</w:t>
      </w:r>
      <w:r>
        <w:tab/>
      </w:r>
      <w:sdt>
        <w:sdtPr>
          <w:alias w:val="Monitor Name"/>
          <w:tag w:val="Monitor Name"/>
          <w:id w:val="-996575143"/>
          <w:placeholder>
            <w:docPart w:val="F1671660704B4B6E8C0CFF12F3187822"/>
          </w:placeholder>
          <w:showingPlcHdr/>
          <w:dropDownList>
            <w:listItem w:displayText="Michelle Judge" w:value="Michelle Judge"/>
            <w:listItem w:displayText="Stephen Listman" w:value="Stephen Listman"/>
          </w:dropDownList>
        </w:sdtPr>
        <w:sdtEndPr/>
        <w:sdtContent>
          <w:r w:rsidRPr="0094677D">
            <w:rPr>
              <w:rStyle w:val="PlaceholderText"/>
            </w:rPr>
            <w:t>Choose an item.</w:t>
          </w:r>
        </w:sdtContent>
      </w:sdt>
      <w:r>
        <w:tab/>
      </w:r>
      <w:r>
        <w:tab/>
      </w:r>
      <w:r>
        <w:tab/>
      </w:r>
      <w:r w:rsidRPr="003F1F32">
        <w:rPr>
          <w:b/>
        </w:rPr>
        <w:t>Date</w:t>
      </w:r>
      <w:r>
        <w:t xml:space="preserve">:  </w:t>
      </w:r>
      <w:sdt>
        <w:sdtPr>
          <w:id w:val="-470902667"/>
          <w:placeholder>
            <w:docPart w:val="DC1E8AFF5BDD4726916E42994D79AEC3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94677D">
            <w:rPr>
              <w:rStyle w:val="PlaceholderText"/>
            </w:rPr>
            <w:t>Click here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AC2765" w14:paraId="6786379B" w14:textId="77777777" w:rsidTr="00AC2765">
        <w:tc>
          <w:tcPr>
            <w:tcW w:w="5251" w:type="dxa"/>
          </w:tcPr>
          <w:p w14:paraId="623EF8C4" w14:textId="77777777" w:rsidR="00AC2765" w:rsidRPr="00AA224D" w:rsidRDefault="00AC2765" w:rsidP="00AC2765">
            <w:pPr>
              <w:rPr>
                <w:b/>
                <w:sz w:val="24"/>
                <w:szCs w:val="24"/>
              </w:rPr>
            </w:pPr>
            <w:r w:rsidRPr="00AA224D">
              <w:rPr>
                <w:b/>
                <w:sz w:val="24"/>
                <w:szCs w:val="24"/>
              </w:rPr>
              <w:t>Fiscal Year:</w:t>
            </w:r>
          </w:p>
        </w:tc>
        <w:tc>
          <w:tcPr>
            <w:tcW w:w="5251" w:type="dxa"/>
          </w:tcPr>
          <w:p w14:paraId="24DA589D" w14:textId="77777777" w:rsidR="00AC2765" w:rsidRDefault="00AC2765" w:rsidP="00AC2765"/>
        </w:tc>
      </w:tr>
      <w:tr w:rsidR="00AC2765" w14:paraId="5980DDF2" w14:textId="77777777" w:rsidTr="00AC2765">
        <w:tc>
          <w:tcPr>
            <w:tcW w:w="5251" w:type="dxa"/>
          </w:tcPr>
          <w:p w14:paraId="23101478" w14:textId="77777777" w:rsidR="00AC2765" w:rsidRPr="00AA224D" w:rsidRDefault="00AC2765" w:rsidP="00AC2765">
            <w:pPr>
              <w:rPr>
                <w:b/>
                <w:sz w:val="24"/>
                <w:szCs w:val="24"/>
              </w:rPr>
            </w:pPr>
            <w:r w:rsidRPr="00AA224D">
              <w:rPr>
                <w:b/>
                <w:sz w:val="24"/>
                <w:szCs w:val="24"/>
              </w:rPr>
              <w:t>Contract Year:</w:t>
            </w:r>
          </w:p>
        </w:tc>
        <w:tc>
          <w:tcPr>
            <w:tcW w:w="5251" w:type="dxa"/>
          </w:tcPr>
          <w:p w14:paraId="3AEE0D4C" w14:textId="77777777" w:rsidR="00AC2765" w:rsidRDefault="00AC2765" w:rsidP="00AC2765"/>
        </w:tc>
      </w:tr>
      <w:tr w:rsidR="00AC2765" w14:paraId="14E4B1EC" w14:textId="77777777" w:rsidTr="00DE0302">
        <w:tc>
          <w:tcPr>
            <w:tcW w:w="10502" w:type="dxa"/>
            <w:gridSpan w:val="2"/>
          </w:tcPr>
          <w:p w14:paraId="3FCF75BD" w14:textId="77777777" w:rsidR="00AC2765" w:rsidRPr="00AC2765" w:rsidRDefault="00E42E37" w:rsidP="00AC2765">
            <w:pPr>
              <w:jc w:val="center"/>
              <w:rPr>
                <w:b/>
                <w:sz w:val="24"/>
                <w:szCs w:val="24"/>
              </w:rPr>
            </w:pPr>
            <w:r w:rsidRPr="00AC63D4">
              <w:rPr>
                <w:b/>
                <w:sz w:val="24"/>
                <w:szCs w:val="24"/>
              </w:rPr>
              <w:t>Per CSPM 502:  W</w:t>
            </w:r>
            <w:r w:rsidR="00AC2765" w:rsidRPr="00AC63D4">
              <w:rPr>
                <w:b/>
                <w:sz w:val="24"/>
                <w:szCs w:val="24"/>
              </w:rPr>
              <w:t>ere the following items documented?</w:t>
            </w:r>
          </w:p>
        </w:tc>
      </w:tr>
      <w:tr w:rsidR="00AC2765" w14:paraId="410EDFDB" w14:textId="77777777" w:rsidTr="00AC2765">
        <w:tc>
          <w:tcPr>
            <w:tcW w:w="5251" w:type="dxa"/>
          </w:tcPr>
          <w:p w14:paraId="248A718B" w14:textId="77777777" w:rsidR="00AC2765" w:rsidRPr="009A0593" w:rsidRDefault="00AC2765" w:rsidP="009A059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A0593">
              <w:rPr>
                <w:b/>
                <w:sz w:val="24"/>
                <w:szCs w:val="24"/>
              </w:rPr>
              <w:t>Name of Program</w:t>
            </w:r>
          </w:p>
        </w:tc>
        <w:tc>
          <w:tcPr>
            <w:tcW w:w="5251" w:type="dxa"/>
          </w:tcPr>
          <w:p w14:paraId="6E32ADEC" w14:textId="77777777" w:rsidR="00AC2765" w:rsidRDefault="00AC2765" w:rsidP="00AC2765"/>
          <w:p w14:paraId="29471B11" w14:textId="77777777" w:rsidR="00AC2765" w:rsidRDefault="00AC2765" w:rsidP="00AC2765"/>
          <w:p w14:paraId="27E6170C" w14:textId="77777777" w:rsidR="00AC2765" w:rsidRDefault="00AC2765" w:rsidP="00AC2765"/>
        </w:tc>
      </w:tr>
      <w:tr w:rsidR="00AC2765" w14:paraId="07093802" w14:textId="77777777" w:rsidTr="00AC2765">
        <w:tc>
          <w:tcPr>
            <w:tcW w:w="5251" w:type="dxa"/>
          </w:tcPr>
          <w:p w14:paraId="72AEACBF" w14:textId="77777777" w:rsidR="00AC2765" w:rsidRPr="009A0593" w:rsidRDefault="00AC2765" w:rsidP="009A059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A0593">
              <w:rPr>
                <w:b/>
                <w:sz w:val="24"/>
                <w:szCs w:val="24"/>
              </w:rPr>
              <w:t xml:space="preserve"> Service Area</w:t>
            </w:r>
          </w:p>
        </w:tc>
        <w:tc>
          <w:tcPr>
            <w:tcW w:w="5251" w:type="dxa"/>
          </w:tcPr>
          <w:p w14:paraId="32261393" w14:textId="77777777" w:rsidR="00AC2765" w:rsidRDefault="00AC2765" w:rsidP="00AC2765"/>
          <w:p w14:paraId="79C9AF5D" w14:textId="77777777" w:rsidR="00AC2765" w:rsidRDefault="00AC2765" w:rsidP="00AC2765"/>
          <w:p w14:paraId="49596F22" w14:textId="77777777" w:rsidR="00AC2765" w:rsidRDefault="00AC2765" w:rsidP="00AC2765"/>
        </w:tc>
      </w:tr>
      <w:tr w:rsidR="00AC2765" w14:paraId="34E8FDDB" w14:textId="77777777" w:rsidTr="00AC2765">
        <w:tc>
          <w:tcPr>
            <w:tcW w:w="5251" w:type="dxa"/>
          </w:tcPr>
          <w:p w14:paraId="07B6513D" w14:textId="77777777" w:rsidR="00AC2765" w:rsidRDefault="00AC2765" w:rsidP="00B6672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A0593">
              <w:rPr>
                <w:b/>
                <w:sz w:val="24"/>
                <w:szCs w:val="24"/>
              </w:rPr>
              <w:t>Reason for income eligibility exclusion</w:t>
            </w:r>
          </w:p>
          <w:p w14:paraId="78574096" w14:textId="77777777" w:rsidR="00B6672B" w:rsidRPr="009A0593" w:rsidRDefault="00AC63D4" w:rsidP="00B6672B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types of documentation was used for this program to substantiate the need for this program?</w:t>
            </w:r>
          </w:p>
        </w:tc>
        <w:tc>
          <w:tcPr>
            <w:tcW w:w="5251" w:type="dxa"/>
          </w:tcPr>
          <w:p w14:paraId="4655B9DF" w14:textId="77777777" w:rsidR="00AC2765" w:rsidRDefault="00AC2765" w:rsidP="00AC2765"/>
          <w:p w14:paraId="61C871C2" w14:textId="77777777" w:rsidR="00AC2765" w:rsidRDefault="00AC2765" w:rsidP="00AC2765"/>
          <w:p w14:paraId="61C0FFD5" w14:textId="77777777" w:rsidR="00AC2765" w:rsidRDefault="00AC2765" w:rsidP="00AC2765"/>
          <w:p w14:paraId="44237ED9" w14:textId="77777777" w:rsidR="00AC2765" w:rsidRDefault="00AC2765" w:rsidP="00AC2765"/>
          <w:p w14:paraId="20C616F6" w14:textId="77777777" w:rsidR="00AC2765" w:rsidRDefault="00AC2765" w:rsidP="00AC2765"/>
          <w:p w14:paraId="6A6BA3D2" w14:textId="77777777" w:rsidR="00AC2765" w:rsidRDefault="00AC2765" w:rsidP="00AC2765"/>
          <w:p w14:paraId="3E78A1EE" w14:textId="77777777" w:rsidR="00AC2765" w:rsidRDefault="00AC2765" w:rsidP="00AC2765"/>
        </w:tc>
      </w:tr>
      <w:tr w:rsidR="00AC2765" w14:paraId="40FA8E0A" w14:textId="77777777" w:rsidTr="00F1588A">
        <w:trPr>
          <w:trHeight w:val="1460"/>
        </w:trPr>
        <w:tc>
          <w:tcPr>
            <w:tcW w:w="5251" w:type="dxa"/>
          </w:tcPr>
          <w:p w14:paraId="695F7E97" w14:textId="77777777" w:rsidR="00AC2765" w:rsidRPr="00B6672B" w:rsidRDefault="00AA224D" w:rsidP="00B6672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B6672B">
              <w:rPr>
                <w:b/>
                <w:sz w:val="24"/>
                <w:szCs w:val="24"/>
              </w:rPr>
              <w:t xml:space="preserve"> </w:t>
            </w:r>
            <w:r w:rsidR="00AC2765" w:rsidRPr="00B6672B">
              <w:rPr>
                <w:b/>
                <w:sz w:val="24"/>
                <w:szCs w:val="24"/>
              </w:rPr>
              <w:t xml:space="preserve">Proof that clients will be </w:t>
            </w:r>
            <w:r w:rsidRPr="00B6672B">
              <w:rPr>
                <w:b/>
                <w:sz w:val="24"/>
                <w:szCs w:val="24"/>
              </w:rPr>
              <w:t>predominantly</w:t>
            </w:r>
            <w:r w:rsidR="00AC2765" w:rsidRPr="00B6672B">
              <w:rPr>
                <w:b/>
                <w:sz w:val="24"/>
                <w:szCs w:val="24"/>
              </w:rPr>
              <w:t xml:space="preserve"> income-eligible</w:t>
            </w:r>
            <w:r w:rsidR="00F1588A" w:rsidRPr="00B6672B">
              <w:rPr>
                <w:b/>
                <w:sz w:val="24"/>
                <w:szCs w:val="24"/>
              </w:rPr>
              <w:t>:</w:t>
            </w:r>
          </w:p>
          <w:p w14:paraId="0F88645D" w14:textId="77777777" w:rsidR="009A0593" w:rsidRPr="009A0593" w:rsidRDefault="00B6672B" w:rsidP="00B6672B">
            <w:pPr>
              <w:pStyle w:val="ListParagraph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documentation was used</w:t>
            </w:r>
            <w:r w:rsidR="00D71981">
              <w:rPr>
                <w:b/>
                <w:sz w:val="24"/>
                <w:szCs w:val="24"/>
              </w:rPr>
              <w:t xml:space="preserve"> to support the use of this program</w:t>
            </w:r>
            <w:r>
              <w:rPr>
                <w:b/>
                <w:sz w:val="24"/>
                <w:szCs w:val="24"/>
              </w:rPr>
              <w:t>?</w:t>
            </w:r>
          </w:p>
          <w:p w14:paraId="7E7F00C6" w14:textId="77777777" w:rsidR="00F1588A" w:rsidRDefault="00AC2765" w:rsidP="00F1588A">
            <w:pPr>
              <w:pStyle w:val="ListParagraph"/>
              <w:ind w:left="157"/>
              <w:rPr>
                <w:b/>
                <w:sz w:val="24"/>
                <w:szCs w:val="24"/>
              </w:rPr>
            </w:pPr>
            <w:r w:rsidRPr="00AA224D">
              <w:rPr>
                <w:b/>
                <w:sz w:val="24"/>
                <w:szCs w:val="24"/>
              </w:rPr>
              <w:t xml:space="preserve">(Census data, Community Needs Assessment, </w:t>
            </w:r>
            <w:r w:rsidR="00AA224D" w:rsidRPr="00AA224D">
              <w:rPr>
                <w:b/>
                <w:sz w:val="24"/>
                <w:szCs w:val="24"/>
              </w:rPr>
              <w:t>etc.</w:t>
            </w:r>
            <w:r w:rsidRPr="00AA224D">
              <w:rPr>
                <w:b/>
                <w:sz w:val="24"/>
                <w:szCs w:val="24"/>
              </w:rPr>
              <w:t>…)</w:t>
            </w:r>
            <w:r w:rsidR="00F1588A">
              <w:rPr>
                <w:b/>
                <w:sz w:val="24"/>
                <w:szCs w:val="24"/>
              </w:rPr>
              <w:t xml:space="preserve"> </w:t>
            </w:r>
          </w:p>
          <w:p w14:paraId="694DA696" w14:textId="77777777" w:rsidR="00AC2765" w:rsidRPr="00AA224D" w:rsidRDefault="00AC2765" w:rsidP="00F1588A">
            <w:pPr>
              <w:pStyle w:val="ListParagraph"/>
              <w:ind w:left="157"/>
              <w:rPr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p w14:paraId="62FCAFAB" w14:textId="77777777" w:rsidR="00AC2765" w:rsidRDefault="00AC2765" w:rsidP="00AC2765"/>
          <w:p w14:paraId="12EC1189" w14:textId="77777777" w:rsidR="00AC2765" w:rsidRDefault="00AC2765" w:rsidP="00AC2765"/>
          <w:p w14:paraId="05696327" w14:textId="77777777" w:rsidR="00AC2765" w:rsidRDefault="00AC2765" w:rsidP="00AC2765"/>
          <w:p w14:paraId="370D935B" w14:textId="77777777" w:rsidR="00AC2765" w:rsidRDefault="00AC2765" w:rsidP="00AC2765"/>
          <w:p w14:paraId="1EDAC8C7" w14:textId="77777777" w:rsidR="00AC2765" w:rsidRDefault="00AC2765" w:rsidP="00AC2765"/>
          <w:p w14:paraId="4A552F0B" w14:textId="77777777" w:rsidR="00AC2765" w:rsidRDefault="00AC2765" w:rsidP="00AC2765"/>
        </w:tc>
      </w:tr>
      <w:tr w:rsidR="001607CA" w14:paraId="130E6A1E" w14:textId="77777777" w:rsidTr="00F1588A">
        <w:trPr>
          <w:trHeight w:val="1460"/>
        </w:trPr>
        <w:tc>
          <w:tcPr>
            <w:tcW w:w="5251" w:type="dxa"/>
          </w:tcPr>
          <w:p w14:paraId="6727F5B0" w14:textId="77777777" w:rsidR="00B6672B" w:rsidRDefault="001607CA" w:rsidP="009A059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607CA">
              <w:rPr>
                <w:b/>
                <w:sz w:val="24"/>
                <w:szCs w:val="24"/>
              </w:rPr>
              <w:t xml:space="preserve">Is the proportion of clients who are CSBG-eligible equal to or greater than the proportion of program costs paid with CSBG funds?  </w:t>
            </w:r>
          </w:p>
          <w:p w14:paraId="03095BE6" w14:textId="77777777" w:rsidR="001607CA" w:rsidRDefault="001607CA" w:rsidP="00B6672B">
            <w:pPr>
              <w:pStyle w:val="ListParagraph"/>
              <w:rPr>
                <w:b/>
                <w:sz w:val="24"/>
                <w:szCs w:val="24"/>
              </w:rPr>
            </w:pPr>
            <w:r w:rsidRPr="001607CA">
              <w:rPr>
                <w:b/>
                <w:sz w:val="24"/>
                <w:szCs w:val="24"/>
              </w:rPr>
              <w:t xml:space="preserve">Or is the proportion of program staff time devoted to serving CSBG-eligible clients equal to or greater than the proportion of program costs paid with CSBG funds? 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14:paraId="19173CCE" w14:textId="77777777" w:rsidR="001607CA" w:rsidRPr="001607CA" w:rsidRDefault="001607CA" w:rsidP="001607CA">
            <w:pPr>
              <w:pStyle w:val="ListParagraph"/>
              <w:rPr>
                <w:b/>
                <w:sz w:val="24"/>
                <w:szCs w:val="24"/>
              </w:rPr>
            </w:pPr>
            <w:r w:rsidRPr="001607CA">
              <w:rPr>
                <w:b/>
                <w:sz w:val="24"/>
                <w:szCs w:val="24"/>
              </w:rPr>
              <w:t>(See Agency Questionnaire)</w:t>
            </w:r>
          </w:p>
        </w:tc>
        <w:tc>
          <w:tcPr>
            <w:tcW w:w="5251" w:type="dxa"/>
          </w:tcPr>
          <w:p w14:paraId="2B8471CC" w14:textId="77777777" w:rsidR="001607CA" w:rsidRDefault="001607CA" w:rsidP="00AC2765"/>
        </w:tc>
      </w:tr>
    </w:tbl>
    <w:p w14:paraId="2B09AD8F" w14:textId="77777777" w:rsidR="00647D0D" w:rsidRDefault="00647D0D" w:rsidP="00AC2765"/>
    <w:p w14:paraId="2D540451" w14:textId="77777777" w:rsidR="00647D0D" w:rsidRPr="00F1588A" w:rsidRDefault="00647D0D" w:rsidP="00647D0D">
      <w:pPr>
        <w:pBdr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F1588A">
        <w:rPr>
          <w:rFonts w:ascii="Arial" w:hAnsi="Arial" w:cs="Arial"/>
          <w:i/>
          <w:sz w:val="18"/>
          <w:szCs w:val="18"/>
        </w:rPr>
        <w:t xml:space="preserve">Example: if CSBG supports 30% of a program’s costs, then the agency must be able to demonstrate that at least 30% of the clients served have incomes at or below 125% of the federal poverty level, or at least 30% of staff time is allocated to serving CSBG-eligible clients. </w:t>
      </w:r>
    </w:p>
    <w:p w14:paraId="0B366834" w14:textId="77777777" w:rsidR="00647D0D" w:rsidRPr="00F1588A" w:rsidRDefault="00647D0D" w:rsidP="00647D0D">
      <w:pPr>
        <w:pBdr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F1588A">
        <w:rPr>
          <w:rFonts w:ascii="Arial" w:hAnsi="Arial" w:cs="Arial"/>
          <w:i/>
          <w:sz w:val="18"/>
          <w:szCs w:val="18"/>
        </w:rPr>
        <w:t>Example: if 10% of clients are documented as eligible, no more than 10% of funds should come from CSBG.</w:t>
      </w:r>
    </w:p>
    <w:p w14:paraId="41483F06" w14:textId="77777777" w:rsidR="00F1588A" w:rsidRDefault="00647D0D" w:rsidP="00F1588A">
      <w:pPr>
        <w:pBdr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F1588A">
        <w:rPr>
          <w:rFonts w:ascii="Arial" w:hAnsi="Arial" w:cs="Arial"/>
          <w:i/>
          <w:sz w:val="18"/>
          <w:szCs w:val="18"/>
        </w:rPr>
        <w:t>Example: The CAA could provide evidence that due to the venue in which a particular service is provided, such as meals provided in an emergency homeless shelter, it could reasonably be assumed that clients meet the CSBG income guidelines.</w:t>
      </w:r>
    </w:p>
    <w:p w14:paraId="0BA6A27F" w14:textId="77777777" w:rsidR="00F1588A" w:rsidRDefault="00F1588A" w:rsidP="00734E08">
      <w:pPr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i/>
          <w:sz w:val="18"/>
          <w:szCs w:val="18"/>
        </w:rPr>
        <w:br w:type="page"/>
      </w:r>
      <w:r>
        <w:rPr>
          <w:rFonts w:ascii="Arial" w:hAnsi="Arial"/>
          <w:b/>
          <w:sz w:val="24"/>
          <w:szCs w:val="24"/>
        </w:rPr>
        <w:lastRenderedPageBreak/>
        <w:t>INCOME ELIGIBILITY DETERMINATION EXCEPTION</w:t>
      </w:r>
    </w:p>
    <w:p w14:paraId="12B4A966" w14:textId="77777777" w:rsidR="00F1588A" w:rsidRDefault="00F1588A" w:rsidP="00F1588A">
      <w:pPr>
        <w:pBdr>
          <w:right w:val="single" w:sz="4" w:space="1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</w:tabs>
        <w:rPr>
          <w:rFonts w:ascii="Arial" w:hAnsi="Arial"/>
          <w:b/>
          <w:sz w:val="24"/>
          <w:szCs w:val="24"/>
        </w:rPr>
      </w:pPr>
    </w:p>
    <w:p w14:paraId="37D35791" w14:textId="77777777" w:rsidR="00F1588A" w:rsidRPr="00A95536" w:rsidRDefault="00F1588A" w:rsidP="00F1588A">
      <w:pPr>
        <w:pBdr>
          <w:right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6538">
        <w:rPr>
          <w:rFonts w:ascii="Arial" w:hAnsi="Arial" w:cs="Arial"/>
          <w:sz w:val="24"/>
          <w:szCs w:val="24"/>
        </w:rPr>
        <w:t>When CSBG funds support short term services with limited intake procedures, and individual income verification is not possible or practical</w:t>
      </w:r>
      <w:r>
        <w:rPr>
          <w:rFonts w:ascii="Arial" w:hAnsi="Arial" w:cs="Arial"/>
          <w:sz w:val="24"/>
          <w:szCs w:val="24"/>
        </w:rPr>
        <w:t>,</w:t>
      </w:r>
      <w:r w:rsidRPr="00A955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A95536">
        <w:rPr>
          <w:rFonts w:ascii="Arial" w:hAnsi="Arial" w:cs="Arial"/>
          <w:sz w:val="24"/>
          <w:szCs w:val="24"/>
        </w:rPr>
        <w:t>CAA may not always be required to conduct</w:t>
      </w:r>
      <w:r>
        <w:rPr>
          <w:rFonts w:ascii="Arial" w:hAnsi="Arial" w:cs="Arial"/>
          <w:sz w:val="24"/>
          <w:szCs w:val="24"/>
        </w:rPr>
        <w:t xml:space="preserve"> </w:t>
      </w:r>
      <w:r w:rsidRPr="00A95536">
        <w:rPr>
          <w:rFonts w:ascii="Arial" w:hAnsi="Arial" w:cs="Arial"/>
          <w:sz w:val="24"/>
          <w:szCs w:val="24"/>
        </w:rPr>
        <w:t>individualized eligibility determinations</w:t>
      </w:r>
      <w:r>
        <w:rPr>
          <w:rFonts w:ascii="Arial" w:hAnsi="Arial" w:cs="Arial"/>
          <w:sz w:val="24"/>
          <w:szCs w:val="24"/>
        </w:rPr>
        <w:t>.  This may happen</w:t>
      </w:r>
      <w:r w:rsidRPr="00A95536">
        <w:rPr>
          <w:rFonts w:ascii="Arial" w:hAnsi="Arial" w:cs="Arial"/>
          <w:sz w:val="24"/>
          <w:szCs w:val="24"/>
        </w:rPr>
        <w:t xml:space="preserve"> if services are:</w:t>
      </w:r>
    </w:p>
    <w:p w14:paraId="41D32147" w14:textId="77777777" w:rsidR="00F1588A" w:rsidRDefault="00F1588A" w:rsidP="00F1588A">
      <w:pPr>
        <w:numPr>
          <w:ilvl w:val="0"/>
          <w:numId w:val="2"/>
        </w:numPr>
        <w:pBdr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95536">
        <w:rPr>
          <w:rFonts w:ascii="Arial" w:hAnsi="Arial" w:cs="Arial"/>
          <w:sz w:val="24"/>
          <w:szCs w:val="24"/>
        </w:rPr>
        <w:t xml:space="preserve">Provided to a group, rather than to individuals, and circumstances indicate that group members </w:t>
      </w:r>
      <w:r>
        <w:rPr>
          <w:rFonts w:ascii="Arial" w:hAnsi="Arial" w:cs="Arial"/>
          <w:sz w:val="24"/>
          <w:szCs w:val="24"/>
        </w:rPr>
        <w:t xml:space="preserve">will predominantly </w:t>
      </w:r>
      <w:r w:rsidRPr="00A95536">
        <w:rPr>
          <w:rFonts w:ascii="Arial" w:hAnsi="Arial" w:cs="Arial"/>
          <w:sz w:val="24"/>
          <w:szCs w:val="24"/>
        </w:rPr>
        <w:t>be income-eligible</w:t>
      </w:r>
      <w:r w:rsidRPr="00E075F3">
        <w:rPr>
          <w:rFonts w:ascii="Arial" w:hAnsi="Arial" w:cs="Arial"/>
          <w:sz w:val="24"/>
          <w:szCs w:val="24"/>
        </w:rPr>
        <w:t xml:space="preserve"> </w:t>
      </w:r>
    </w:p>
    <w:p w14:paraId="5BB08532" w14:textId="77777777" w:rsidR="00F1588A" w:rsidRDefault="00F1588A" w:rsidP="00F1588A">
      <w:pPr>
        <w:pBdr>
          <w:right w:val="single" w:sz="4" w:space="1" w:color="auto"/>
        </w:pBd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Examples:</w:t>
      </w:r>
    </w:p>
    <w:p w14:paraId="1DF2B84A" w14:textId="77777777" w:rsidR="00F1588A" w:rsidRDefault="00F1588A" w:rsidP="00F1588A">
      <w:pPr>
        <w:numPr>
          <w:ilvl w:val="1"/>
          <w:numId w:val="2"/>
        </w:numPr>
        <w:pBdr>
          <w:right w:val="single" w:sz="4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A95536">
        <w:rPr>
          <w:rFonts w:ascii="Arial" w:hAnsi="Arial" w:cs="Arial"/>
          <w:sz w:val="24"/>
          <w:szCs w:val="24"/>
        </w:rPr>
        <w:t>inancial literacy</w:t>
      </w:r>
      <w:r>
        <w:rPr>
          <w:rFonts w:ascii="Arial" w:hAnsi="Arial" w:cs="Arial"/>
          <w:sz w:val="24"/>
          <w:szCs w:val="24"/>
        </w:rPr>
        <w:t xml:space="preserve"> (or other program)</w:t>
      </w:r>
      <w:r w:rsidRPr="00A95536">
        <w:rPr>
          <w:rFonts w:ascii="Arial" w:hAnsi="Arial" w:cs="Arial"/>
          <w:sz w:val="24"/>
          <w:szCs w:val="24"/>
        </w:rPr>
        <w:t xml:space="preserve"> information and materials provided at community gathering in low</w:t>
      </w:r>
      <w:r w:rsidRPr="00A95536">
        <w:rPr>
          <w:rFonts w:ascii="Cambria Math" w:hAnsi="Cambria Math" w:cs="Cambria Math"/>
          <w:sz w:val="24"/>
          <w:szCs w:val="24"/>
        </w:rPr>
        <w:t>‐</w:t>
      </w:r>
      <w:r w:rsidRPr="00A95536">
        <w:rPr>
          <w:rFonts w:ascii="Arial" w:hAnsi="Arial" w:cs="Arial"/>
          <w:sz w:val="24"/>
          <w:szCs w:val="24"/>
        </w:rPr>
        <w:t>income area or to Head Start parents</w:t>
      </w:r>
    </w:p>
    <w:p w14:paraId="0394C2A8" w14:textId="77777777" w:rsidR="00F1588A" w:rsidRDefault="00F1588A" w:rsidP="00F1588A">
      <w:pPr>
        <w:numPr>
          <w:ilvl w:val="1"/>
          <w:numId w:val="2"/>
        </w:numPr>
        <w:pBdr>
          <w:right w:val="single" w:sz="4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Donations of food or meals</w:t>
      </w:r>
    </w:p>
    <w:p w14:paraId="7CFC5D5A" w14:textId="77777777" w:rsidR="00F1588A" w:rsidRDefault="00F1588A" w:rsidP="00F1588A">
      <w:pPr>
        <w:numPr>
          <w:ilvl w:val="1"/>
          <w:numId w:val="2"/>
        </w:numPr>
        <w:pBdr>
          <w:right w:val="single" w:sz="4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Summer meals for youth</w:t>
      </w:r>
    </w:p>
    <w:p w14:paraId="789639FB" w14:textId="77777777" w:rsidR="00F1588A" w:rsidRPr="00A95536" w:rsidRDefault="00F1588A" w:rsidP="00F1588A">
      <w:pPr>
        <w:pBdr>
          <w:right w:val="single" w:sz="4" w:space="1" w:color="auto"/>
        </w:pBd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14:paraId="363B4ECA" w14:textId="77777777" w:rsidR="00F1588A" w:rsidRDefault="00F1588A" w:rsidP="00F1588A">
      <w:pPr>
        <w:numPr>
          <w:ilvl w:val="0"/>
          <w:numId w:val="2"/>
        </w:numPr>
        <w:pBdr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95536">
        <w:rPr>
          <w:rFonts w:ascii="Arial" w:hAnsi="Arial" w:cs="Arial"/>
          <w:sz w:val="24"/>
          <w:szCs w:val="24"/>
        </w:rPr>
        <w:t>Provided on individual basis but impossible or impracticable to obtain income documentation</w:t>
      </w:r>
    </w:p>
    <w:p w14:paraId="1C4A77EC" w14:textId="77777777" w:rsidR="00F1588A" w:rsidRDefault="00F1588A" w:rsidP="00F1588A">
      <w:pPr>
        <w:pBdr>
          <w:right w:val="single" w:sz="4" w:space="1" w:color="auto"/>
        </w:pBd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Examples:</w:t>
      </w:r>
    </w:p>
    <w:p w14:paraId="6FE758B8" w14:textId="77777777" w:rsidR="00F1588A" w:rsidRPr="00A95536" w:rsidRDefault="00F1588A" w:rsidP="00F1588A">
      <w:pPr>
        <w:numPr>
          <w:ilvl w:val="2"/>
          <w:numId w:val="3"/>
        </w:numPr>
        <w:pBdr>
          <w:right w:val="single" w:sz="4" w:space="1" w:color="auto"/>
        </w:pBd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1530" w:hanging="450"/>
        <w:rPr>
          <w:rFonts w:ascii="Arial" w:hAnsi="Arial" w:cs="Arial"/>
          <w:sz w:val="24"/>
          <w:szCs w:val="24"/>
        </w:rPr>
      </w:pPr>
      <w:r w:rsidRPr="00A95536">
        <w:rPr>
          <w:rFonts w:ascii="Arial" w:hAnsi="Arial" w:cs="Arial"/>
          <w:sz w:val="24"/>
          <w:szCs w:val="24"/>
        </w:rPr>
        <w:t>Part of outreach to potential clients, such as open house at CAA</w:t>
      </w:r>
    </w:p>
    <w:p w14:paraId="19438FB2" w14:textId="77777777" w:rsidR="00F1588A" w:rsidRDefault="00F1588A" w:rsidP="00F1588A">
      <w:pPr>
        <w:numPr>
          <w:ilvl w:val="2"/>
          <w:numId w:val="3"/>
        </w:numPr>
        <w:pBdr>
          <w:right w:val="single" w:sz="4" w:space="1" w:color="auto"/>
        </w:pBd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1530" w:hanging="450"/>
        <w:rPr>
          <w:rFonts w:ascii="Arial" w:hAnsi="Arial" w:cs="Arial"/>
          <w:sz w:val="24"/>
          <w:szCs w:val="24"/>
        </w:rPr>
      </w:pPr>
      <w:r w:rsidRPr="00A95536">
        <w:rPr>
          <w:rFonts w:ascii="Arial" w:hAnsi="Arial" w:cs="Arial"/>
          <w:sz w:val="24"/>
          <w:szCs w:val="24"/>
        </w:rPr>
        <w:t>Initial intake and information referral process</w:t>
      </w:r>
    </w:p>
    <w:p w14:paraId="4FEC5516" w14:textId="77777777" w:rsidR="00F1588A" w:rsidRPr="00E075F3" w:rsidRDefault="00F1588A" w:rsidP="00F1588A">
      <w:pPr>
        <w:numPr>
          <w:ilvl w:val="2"/>
          <w:numId w:val="3"/>
        </w:numPr>
        <w:pBdr>
          <w:right w:val="single" w:sz="4" w:space="1" w:color="auto"/>
        </w:pBd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1530" w:hanging="450"/>
        <w:rPr>
          <w:rFonts w:ascii="Arial" w:hAnsi="Arial" w:cs="Arial"/>
          <w:sz w:val="24"/>
          <w:szCs w:val="24"/>
        </w:rPr>
      </w:pPr>
      <w:r w:rsidRPr="00E075F3">
        <w:rPr>
          <w:rFonts w:ascii="Arial" w:hAnsi="Arial" w:cs="Arial"/>
          <w:sz w:val="24"/>
          <w:szCs w:val="24"/>
        </w:rPr>
        <w:t>Temporary shelter to homeless individuals</w:t>
      </w:r>
    </w:p>
    <w:p w14:paraId="38891A63" w14:textId="77777777" w:rsidR="00F1588A" w:rsidRPr="00A95536" w:rsidRDefault="00F1588A" w:rsidP="00F1588A">
      <w:pPr>
        <w:numPr>
          <w:ilvl w:val="2"/>
          <w:numId w:val="3"/>
        </w:numPr>
        <w:pBdr>
          <w:right w:val="single" w:sz="4" w:space="1" w:color="auto"/>
        </w:pBd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1530" w:hanging="450"/>
        <w:rPr>
          <w:rFonts w:ascii="Arial" w:hAnsi="Arial" w:cs="Arial"/>
          <w:sz w:val="24"/>
          <w:szCs w:val="24"/>
        </w:rPr>
      </w:pPr>
      <w:r w:rsidRPr="00A95536">
        <w:rPr>
          <w:rFonts w:ascii="Arial" w:hAnsi="Arial" w:cs="Arial"/>
          <w:sz w:val="24"/>
          <w:szCs w:val="24"/>
        </w:rPr>
        <w:t>Disaster relief</w:t>
      </w:r>
    </w:p>
    <w:p w14:paraId="7EC6294B" w14:textId="77777777" w:rsidR="00F1588A" w:rsidRPr="00A95536" w:rsidRDefault="00F1588A" w:rsidP="00F1588A">
      <w:pPr>
        <w:pBdr>
          <w:right w:val="single" w:sz="4" w:space="1" w:color="auto"/>
        </w:pBd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</w:rPr>
      </w:pPr>
    </w:p>
    <w:p w14:paraId="132B2094" w14:textId="77777777" w:rsidR="00F1588A" w:rsidRDefault="00F1588A" w:rsidP="00F1588A">
      <w:pPr>
        <w:numPr>
          <w:ilvl w:val="0"/>
          <w:numId w:val="2"/>
        </w:numPr>
        <w:pBdr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95536">
        <w:rPr>
          <w:rFonts w:ascii="Arial" w:hAnsi="Arial" w:cs="Arial"/>
          <w:sz w:val="24"/>
          <w:szCs w:val="24"/>
        </w:rPr>
        <w:t>Intended to increase community awareness of or involvement in poverty issues</w:t>
      </w:r>
    </w:p>
    <w:p w14:paraId="788D8AD4" w14:textId="77777777" w:rsidR="00F1588A" w:rsidRDefault="00F1588A" w:rsidP="00F1588A">
      <w:pPr>
        <w:numPr>
          <w:ilvl w:val="1"/>
          <w:numId w:val="4"/>
        </w:numPr>
        <w:pBdr>
          <w:right w:val="single" w:sz="4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Poverty Forum</w:t>
      </w:r>
    </w:p>
    <w:p w14:paraId="6913E8A4" w14:textId="77777777" w:rsidR="00F1588A" w:rsidRDefault="00F1588A" w:rsidP="00F1588A">
      <w:pPr>
        <w:numPr>
          <w:ilvl w:val="1"/>
          <w:numId w:val="4"/>
        </w:numPr>
        <w:pBdr>
          <w:right w:val="single" w:sz="4" w:space="1" w:color="auto"/>
        </w:pBd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Building Partnerships with other organizations</w:t>
      </w:r>
    </w:p>
    <w:p w14:paraId="3BD0BEB5" w14:textId="77777777" w:rsidR="00647D0D" w:rsidRPr="00F1588A" w:rsidRDefault="00647D0D" w:rsidP="00F1588A">
      <w:pPr>
        <w:pBdr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sectPr w:rsidR="00647D0D" w:rsidRPr="00F1588A" w:rsidSect="00F1588A">
      <w:footerReference w:type="default" r:id="rId7"/>
      <w:pgSz w:w="12240" w:h="15840"/>
      <w:pgMar w:top="720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0E577" w14:textId="77777777" w:rsidR="00CB056D" w:rsidRDefault="00CB056D" w:rsidP="00CB056D">
      <w:pPr>
        <w:spacing w:after="0" w:line="240" w:lineRule="auto"/>
      </w:pPr>
      <w:r>
        <w:separator/>
      </w:r>
    </w:p>
  </w:endnote>
  <w:endnote w:type="continuationSeparator" w:id="0">
    <w:p w14:paraId="5E22D6A5" w14:textId="77777777" w:rsidR="00CB056D" w:rsidRDefault="00CB056D" w:rsidP="00CB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7CDF" w14:textId="77777777" w:rsidR="00CB056D" w:rsidRDefault="00CB056D">
    <w:pPr>
      <w:pStyle w:val="Footer"/>
    </w:pPr>
    <w:r>
      <w:t>Rev 1/19/2017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10B81" w14:textId="77777777" w:rsidR="00CB056D" w:rsidRDefault="00CB056D" w:rsidP="00CB056D">
      <w:pPr>
        <w:spacing w:after="0" w:line="240" w:lineRule="auto"/>
      </w:pPr>
      <w:r>
        <w:separator/>
      </w:r>
    </w:p>
  </w:footnote>
  <w:footnote w:type="continuationSeparator" w:id="0">
    <w:p w14:paraId="332437D6" w14:textId="77777777" w:rsidR="00CB056D" w:rsidRDefault="00CB056D" w:rsidP="00CB0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5937"/>
    <w:multiLevelType w:val="hybridMultilevel"/>
    <w:tmpl w:val="417ED5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544"/>
    <w:multiLevelType w:val="hybridMultilevel"/>
    <w:tmpl w:val="74427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1B6"/>
    <w:multiLevelType w:val="hybridMultilevel"/>
    <w:tmpl w:val="6A129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6B214C"/>
    <w:multiLevelType w:val="hybridMultilevel"/>
    <w:tmpl w:val="48A42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A04D6"/>
    <w:multiLevelType w:val="hybridMultilevel"/>
    <w:tmpl w:val="8EC2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765"/>
    <w:rsid w:val="001607CA"/>
    <w:rsid w:val="005F7EC0"/>
    <w:rsid w:val="00647D0D"/>
    <w:rsid w:val="00734E08"/>
    <w:rsid w:val="00901DA1"/>
    <w:rsid w:val="009A0593"/>
    <w:rsid w:val="00A6396D"/>
    <w:rsid w:val="00A83D37"/>
    <w:rsid w:val="00AA224D"/>
    <w:rsid w:val="00AC2765"/>
    <w:rsid w:val="00AC63D4"/>
    <w:rsid w:val="00AE6470"/>
    <w:rsid w:val="00B175B1"/>
    <w:rsid w:val="00B6672B"/>
    <w:rsid w:val="00BB59CB"/>
    <w:rsid w:val="00CB056D"/>
    <w:rsid w:val="00D15E83"/>
    <w:rsid w:val="00D71981"/>
    <w:rsid w:val="00E42E37"/>
    <w:rsid w:val="00F1588A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4D47"/>
  <w15:chartTrackingRefBased/>
  <w15:docId w15:val="{11596C80-27D9-481C-BB6E-52EDEB14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765"/>
    <w:rPr>
      <w:color w:val="808080"/>
    </w:rPr>
  </w:style>
  <w:style w:type="character" w:customStyle="1" w:styleId="Style3">
    <w:name w:val="Style3"/>
    <w:basedOn w:val="DefaultParagraphFont"/>
    <w:uiPriority w:val="1"/>
    <w:rsid w:val="00AC2765"/>
    <w:rPr>
      <w:rFonts w:ascii="Tahoma" w:hAnsi="Tahoma"/>
      <w:color w:val="auto"/>
      <w:sz w:val="24"/>
    </w:rPr>
  </w:style>
  <w:style w:type="table" w:styleId="TableGrid">
    <w:name w:val="Table Grid"/>
    <w:basedOn w:val="TableNormal"/>
    <w:uiPriority w:val="39"/>
    <w:rsid w:val="00AC2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0593"/>
    <w:pPr>
      <w:ind w:left="720"/>
      <w:contextualSpacing/>
    </w:pPr>
  </w:style>
  <w:style w:type="paragraph" w:styleId="Revision">
    <w:name w:val="Revision"/>
    <w:hidden/>
    <w:uiPriority w:val="99"/>
    <w:semiHidden/>
    <w:rsid w:val="00647D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56D"/>
  </w:style>
  <w:style w:type="paragraph" w:styleId="Footer">
    <w:name w:val="footer"/>
    <w:basedOn w:val="Normal"/>
    <w:link w:val="FooterChar"/>
    <w:uiPriority w:val="99"/>
    <w:unhideWhenUsed/>
    <w:rsid w:val="00CB0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671660704B4B6E8C0CFF12F3187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EA806-54C2-4E78-88E1-1C89446A9C03}"/>
      </w:docPartPr>
      <w:docPartBody>
        <w:p w:rsidR="00841DE1" w:rsidRDefault="006050ED" w:rsidP="006050ED">
          <w:pPr>
            <w:pStyle w:val="F1671660704B4B6E8C0CFF12F3187822"/>
          </w:pPr>
          <w:r w:rsidRPr="0094677D">
            <w:rPr>
              <w:rStyle w:val="PlaceholderText"/>
            </w:rPr>
            <w:t>Choose an item.</w:t>
          </w:r>
        </w:p>
      </w:docPartBody>
    </w:docPart>
    <w:docPart>
      <w:docPartPr>
        <w:name w:val="DC1E8AFF5BDD4726916E42994D79A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ABC7-5536-4A9E-B9F6-CC7A085728DA}"/>
      </w:docPartPr>
      <w:docPartBody>
        <w:p w:rsidR="00841DE1" w:rsidRDefault="006050ED" w:rsidP="006050ED">
          <w:pPr>
            <w:pStyle w:val="DC1E8AFF5BDD4726916E42994D79AEC3"/>
          </w:pPr>
          <w:r w:rsidRPr="0094677D">
            <w:rPr>
              <w:rStyle w:val="PlaceholderText"/>
            </w:rPr>
            <w:t>Click here to enter a date.</w:t>
          </w:r>
        </w:p>
      </w:docPartBody>
    </w:docPart>
    <w:docPart>
      <w:docPartPr>
        <w:name w:val="CC6E0515793A4C2E8C1781D6F6D59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9AB7D-3BF2-419F-B83F-BFC6D4DE87C6}"/>
      </w:docPartPr>
      <w:docPartBody>
        <w:p w:rsidR="009A7FA2" w:rsidRDefault="0035684C" w:rsidP="0035684C">
          <w:pPr>
            <w:pStyle w:val="CC6E0515793A4C2E8C1781D6F6D59D0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ED"/>
    <w:rsid w:val="0035684C"/>
    <w:rsid w:val="006050ED"/>
    <w:rsid w:val="007D0E0D"/>
    <w:rsid w:val="00841DE1"/>
    <w:rsid w:val="009A7FA2"/>
    <w:rsid w:val="00F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684C"/>
  </w:style>
  <w:style w:type="paragraph" w:customStyle="1" w:styleId="F145339476BF4D8DB5685DBD5C563586">
    <w:name w:val="F145339476BF4D8DB5685DBD5C563586"/>
    <w:rsid w:val="006050ED"/>
  </w:style>
  <w:style w:type="paragraph" w:customStyle="1" w:styleId="8A60EF3E8E0F40C0A51382369907387D">
    <w:name w:val="8A60EF3E8E0F40C0A51382369907387D"/>
    <w:rsid w:val="006050ED"/>
  </w:style>
  <w:style w:type="paragraph" w:customStyle="1" w:styleId="3DDEEB95AC5B46A1920352574192244D">
    <w:name w:val="3DDEEB95AC5B46A1920352574192244D"/>
    <w:rsid w:val="006050ED"/>
  </w:style>
  <w:style w:type="paragraph" w:customStyle="1" w:styleId="19018C5A6C2446C8A4304336719C47E6">
    <w:name w:val="19018C5A6C2446C8A4304336719C47E6"/>
    <w:rsid w:val="006050ED"/>
  </w:style>
  <w:style w:type="paragraph" w:customStyle="1" w:styleId="F1671660704B4B6E8C0CFF12F3187822">
    <w:name w:val="F1671660704B4B6E8C0CFF12F3187822"/>
    <w:rsid w:val="006050ED"/>
  </w:style>
  <w:style w:type="paragraph" w:customStyle="1" w:styleId="DC1E8AFF5BDD4726916E42994D79AEC3">
    <w:name w:val="DC1E8AFF5BDD4726916E42994D79AEC3"/>
    <w:rsid w:val="006050ED"/>
  </w:style>
  <w:style w:type="paragraph" w:customStyle="1" w:styleId="CC6E0515793A4C2E8C1781D6F6D59D0E">
    <w:name w:val="CC6E0515793A4C2E8C1781D6F6D59D0E"/>
    <w:rsid w:val="00356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C0676FCE8A7498CEF6C0256FD2450" ma:contentTypeVersion="19" ma:contentTypeDescription="Create a new document." ma:contentTypeScope="" ma:versionID="e180c8a8e96738891a8acbdbc9526c9a">
  <xsd:schema xmlns:xsd="http://www.w3.org/2001/XMLSchema" xmlns:xs="http://www.w3.org/2001/XMLSchema" xmlns:p="http://schemas.microsoft.com/office/2006/metadata/properties" xmlns:ns2="5aa53882-f116-4654-98bd-3c2d5f08a5ac" xmlns:ns3="8aaa1492-3995-4994-9004-b8d64b220a13" targetNamespace="http://schemas.microsoft.com/office/2006/metadata/properties" ma:root="true" ma:fieldsID="ca42fbd38563af95807fb27b4d3ef8e8" ns2:_="" ns3:_="">
    <xsd:import namespace="5aa53882-f116-4654-98bd-3c2d5f08a5ac"/>
    <xsd:import namespace="8aaa1492-3995-4994-9004-b8d64b220a13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2:Comments" minOccurs="0"/>
                <xsd:element ref="ns2:Final_x0020_Approva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3882-f116-4654-98bd-3c2d5f08a5ac" elementFormDefault="qualified">
    <xsd:import namespace="http://schemas.microsoft.com/office/2006/documentManagement/types"/>
    <xsd:import namespace="http://schemas.microsoft.com/office/infopath/2007/PartnerControls"/>
    <xsd:element name="Metadata" ma:index="2" nillable="true" ma:displayName="Metadata" ma:format="Dropdown" ma:internalName="Metadata" ma:readOnly="false">
      <xsd:simpleType>
        <xsd:restriction base="dms:Note">
          <xsd:maxLength value="255"/>
        </xsd:restriction>
      </xsd:simpleType>
    </xsd:element>
    <xsd:element name="Comments" ma:index="3" nillable="true" ma:displayName="Comments" ma:format="Dropdown" ma:internalName="Comments" ma:readOnly="false">
      <xsd:simpleType>
        <xsd:restriction base="dms:Note"/>
      </xsd:simpleType>
    </xsd:element>
    <xsd:element name="Final_x0020_Approval" ma:index="4" nillable="true" ma:displayName="Final Approval" ma:format="Dropdown" ma:internalName="Final_x0020_Approval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a1492-3995-4994-9004-b8d64b220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aa53882-f116-4654-98bd-3c2d5f08a5ac" xsi:nil="true"/>
    <Final_x0020_Approval xmlns="5aa53882-f116-4654-98bd-3c2d5f08a5ac" xsi:nil="true"/>
    <Comments xmlns="5aa53882-f116-4654-98bd-3c2d5f08a5ac" xsi:nil="true"/>
  </documentManagement>
</p:properties>
</file>

<file path=customXml/itemProps1.xml><?xml version="1.0" encoding="utf-8"?>
<ds:datastoreItem xmlns:ds="http://schemas.openxmlformats.org/officeDocument/2006/customXml" ds:itemID="{578B5E6A-EA69-4AB5-9AB3-FCEF5ADC02A7}"/>
</file>

<file path=customXml/itemProps2.xml><?xml version="1.0" encoding="utf-8"?>
<ds:datastoreItem xmlns:ds="http://schemas.openxmlformats.org/officeDocument/2006/customXml" ds:itemID="{A2B8D035-1257-4685-BFCA-CEC1E487ADD4}"/>
</file>

<file path=customXml/itemProps3.xml><?xml version="1.0" encoding="utf-8"?>
<ds:datastoreItem xmlns:ds="http://schemas.openxmlformats.org/officeDocument/2006/customXml" ds:itemID="{AF2E6232-A1CC-4653-BF2A-1C104224B9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Judge, Michelle (MDE)</dc:creator>
  <cp:keywords/>
  <dc:description/>
  <cp:lastModifiedBy>Judge, Michelle (DHHS)</cp:lastModifiedBy>
  <cp:revision>2</cp:revision>
  <dcterms:created xsi:type="dcterms:W3CDTF">2020-01-23T20:44:00Z</dcterms:created>
  <dcterms:modified xsi:type="dcterms:W3CDTF">2020-01-23T20:44:00Z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0x010100936C0676FCE8A7498CEF6C0256FD2450</vt:lpwstr>
  </property>
</Properties>
</file>