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F6" w:rsidRPr="00D50DF0" w:rsidRDefault="00791F57" w:rsidP="00791F57">
      <w:pPr>
        <w:pStyle w:val="DocumentLabel"/>
        <w:tabs>
          <w:tab w:val="center" w:pos="5040"/>
        </w:tabs>
        <w:rPr>
          <w:sz w:val="56"/>
          <w:szCs w:val="56"/>
        </w:rPr>
      </w:pPr>
      <w:r>
        <w:rPr>
          <w:sz w:val="56"/>
          <w:szCs w:val="56"/>
        </w:rPr>
        <w:tab/>
      </w:r>
      <w:r w:rsidR="001E06F6">
        <w:rPr>
          <w:sz w:val="56"/>
          <w:szCs w:val="56"/>
        </w:rPr>
        <w:t>Me</w:t>
      </w:r>
      <w:r w:rsidR="001E06F6" w:rsidRPr="00D50DF0">
        <w:rPr>
          <w:sz w:val="56"/>
          <w:szCs w:val="56"/>
        </w:rPr>
        <w:t>mo</w:t>
      </w:r>
    </w:p>
    <w:p w:rsidR="001E06F6" w:rsidRPr="00791F57" w:rsidRDefault="001E06F6" w:rsidP="00791F57">
      <w:pPr>
        <w:pStyle w:val="MessageHeaderFirst"/>
        <w:tabs>
          <w:tab w:val="left" w:pos="1800"/>
        </w:tabs>
        <w:ind w:left="660" w:firstLine="0"/>
        <w:rPr>
          <w:rFonts w:ascii="Arial Black" w:hAnsi="Arial Black"/>
          <w:sz w:val="18"/>
          <w:szCs w:val="18"/>
        </w:rPr>
      </w:pPr>
      <w:r w:rsidRPr="00791F57">
        <w:rPr>
          <w:rStyle w:val="MessageHeaderLabel"/>
          <w:spacing w:val="-25"/>
          <w:szCs w:val="18"/>
        </w:rPr>
        <w:t>T</w:t>
      </w:r>
      <w:r w:rsidRPr="00791F57">
        <w:rPr>
          <w:rStyle w:val="MessageHeaderLabel"/>
          <w:szCs w:val="18"/>
        </w:rPr>
        <w:t>o:</w:t>
      </w:r>
      <w:r w:rsidRPr="00791F57">
        <w:rPr>
          <w:rStyle w:val="MessageHeaderLabel"/>
          <w:szCs w:val="18"/>
        </w:rPr>
        <w:tab/>
      </w:r>
      <w:r w:rsidR="0046098B">
        <w:rPr>
          <w:rStyle w:val="MessageHeaderLabel"/>
          <w:szCs w:val="18"/>
        </w:rPr>
        <w:t>WAP Sub-grantees, WAP Policy Advisory Council, WAP Technical Committee</w:t>
      </w:r>
    </w:p>
    <w:p w:rsidR="001E06F6" w:rsidRPr="00791F57" w:rsidRDefault="001E06F6" w:rsidP="00791F57">
      <w:pPr>
        <w:pStyle w:val="MessageHeaderFirst"/>
        <w:tabs>
          <w:tab w:val="left" w:pos="1800"/>
        </w:tabs>
        <w:ind w:left="660" w:firstLine="0"/>
        <w:rPr>
          <w:rStyle w:val="MessageHeaderLabel"/>
          <w:szCs w:val="18"/>
        </w:rPr>
      </w:pPr>
      <w:r w:rsidRPr="00791F57">
        <w:rPr>
          <w:rStyle w:val="MessageHeaderLabel"/>
          <w:szCs w:val="18"/>
        </w:rPr>
        <w:t>From:</w:t>
      </w:r>
      <w:r w:rsidRPr="00791F57">
        <w:rPr>
          <w:rStyle w:val="MessageHeaderLabel"/>
          <w:szCs w:val="18"/>
        </w:rPr>
        <w:tab/>
      </w:r>
      <w:r w:rsidR="0046098B">
        <w:rPr>
          <w:rStyle w:val="MessageHeaderLabel"/>
          <w:szCs w:val="18"/>
        </w:rPr>
        <w:t>Katherine E. Blodgett, PCED, CDR Programs Administrator</w:t>
      </w:r>
    </w:p>
    <w:p w:rsidR="001E06F6" w:rsidRPr="00791F57" w:rsidRDefault="001E06F6" w:rsidP="00791F57">
      <w:pPr>
        <w:pStyle w:val="MessageHeaderFirst"/>
        <w:tabs>
          <w:tab w:val="left" w:pos="1800"/>
        </w:tabs>
        <w:ind w:left="660" w:firstLine="0"/>
        <w:rPr>
          <w:rFonts w:ascii="Arial Black" w:hAnsi="Arial Black"/>
          <w:sz w:val="18"/>
          <w:szCs w:val="18"/>
        </w:rPr>
      </w:pPr>
      <w:r w:rsidRPr="00791F57">
        <w:rPr>
          <w:rStyle w:val="MessageHeaderLabel"/>
          <w:szCs w:val="18"/>
        </w:rPr>
        <w:t>CC:</w:t>
      </w:r>
      <w:r w:rsidRPr="00791F57">
        <w:rPr>
          <w:rFonts w:ascii="Arial Black" w:hAnsi="Arial Black"/>
          <w:sz w:val="18"/>
          <w:szCs w:val="18"/>
        </w:rPr>
        <w:tab/>
      </w:r>
      <w:r w:rsidR="0046098B">
        <w:rPr>
          <w:rFonts w:ascii="Arial Black" w:hAnsi="Arial Black"/>
          <w:sz w:val="18"/>
          <w:szCs w:val="18"/>
        </w:rPr>
        <w:t>Gloria Castro, CDR Specialist; Michael Frary, Energy Specialist</w:t>
      </w:r>
    </w:p>
    <w:p w:rsidR="001E06F6" w:rsidRPr="00791F57" w:rsidRDefault="001E06F6" w:rsidP="00791F57">
      <w:pPr>
        <w:pStyle w:val="MessageHeaderFirst"/>
        <w:tabs>
          <w:tab w:val="left" w:pos="1800"/>
        </w:tabs>
        <w:ind w:left="660" w:firstLine="0"/>
        <w:rPr>
          <w:rFonts w:ascii="Arial Black" w:hAnsi="Arial Black"/>
          <w:sz w:val="18"/>
          <w:szCs w:val="18"/>
        </w:rPr>
      </w:pPr>
      <w:r w:rsidRPr="00791F57">
        <w:rPr>
          <w:rStyle w:val="MessageHeaderLabel"/>
          <w:szCs w:val="18"/>
        </w:rPr>
        <w:t>Date:</w:t>
      </w:r>
      <w:r w:rsidRPr="00791F57">
        <w:rPr>
          <w:rFonts w:ascii="Arial Black" w:hAnsi="Arial Black"/>
          <w:sz w:val="18"/>
          <w:szCs w:val="18"/>
        </w:rPr>
        <w:tab/>
      </w:r>
      <w:r w:rsidR="0046098B">
        <w:rPr>
          <w:rFonts w:ascii="Arial Black" w:hAnsi="Arial Black"/>
          <w:sz w:val="18"/>
          <w:szCs w:val="18"/>
        </w:rPr>
        <w:t>March 27, 2020</w:t>
      </w:r>
    </w:p>
    <w:p w:rsidR="001E06F6" w:rsidRDefault="001E06F6" w:rsidP="00791F57">
      <w:pPr>
        <w:pStyle w:val="MessageHeaderLast"/>
        <w:tabs>
          <w:tab w:val="left" w:pos="1800"/>
        </w:tabs>
        <w:ind w:left="660" w:firstLine="0"/>
        <w:rPr>
          <w:rFonts w:ascii="Arial Black" w:hAnsi="Arial Black"/>
          <w:sz w:val="18"/>
          <w:szCs w:val="18"/>
          <w:lang w:val="fr-FR"/>
        </w:rPr>
      </w:pPr>
      <w:r w:rsidRPr="00791F57">
        <w:rPr>
          <w:rStyle w:val="MessageHeaderLabel"/>
          <w:szCs w:val="18"/>
          <w:lang w:val="fr-FR"/>
        </w:rPr>
        <w:t>Re:</w:t>
      </w:r>
      <w:r w:rsidRPr="00791F57">
        <w:rPr>
          <w:rFonts w:ascii="Arial Black" w:hAnsi="Arial Black"/>
          <w:sz w:val="18"/>
          <w:szCs w:val="18"/>
          <w:lang w:val="fr-FR"/>
        </w:rPr>
        <w:tab/>
      </w:r>
      <w:r w:rsidR="0046098B">
        <w:rPr>
          <w:rFonts w:ascii="Arial Black" w:hAnsi="Arial Black"/>
          <w:sz w:val="18"/>
          <w:szCs w:val="18"/>
          <w:lang w:val="fr-FR"/>
        </w:rPr>
        <w:t xml:space="preserve">COVID-19 Temporary </w:t>
      </w:r>
      <w:r w:rsidR="0038453D">
        <w:rPr>
          <w:rFonts w:ascii="Arial Black" w:hAnsi="Arial Black"/>
          <w:sz w:val="18"/>
          <w:szCs w:val="18"/>
          <w:lang w:val="fr-FR"/>
        </w:rPr>
        <w:t xml:space="preserve">WAP </w:t>
      </w:r>
      <w:r w:rsidR="0046098B">
        <w:rPr>
          <w:rFonts w:ascii="Arial Black" w:hAnsi="Arial Black"/>
          <w:sz w:val="18"/>
          <w:szCs w:val="18"/>
          <w:lang w:val="fr-FR"/>
        </w:rPr>
        <w:t>Policy Changes</w:t>
      </w:r>
      <w:r w:rsidR="0046098B">
        <w:rPr>
          <w:rFonts w:ascii="Arial Black" w:hAnsi="Arial Black"/>
          <w:sz w:val="18"/>
          <w:szCs w:val="18"/>
          <w:lang w:val="fr-FR"/>
        </w:rPr>
        <w:tab/>
      </w:r>
      <w:r w:rsidR="0046098B">
        <w:rPr>
          <w:rFonts w:ascii="Arial Black" w:hAnsi="Arial Black"/>
          <w:sz w:val="18"/>
          <w:szCs w:val="18"/>
          <w:lang w:val="fr-FR"/>
        </w:rPr>
        <w:tab/>
      </w:r>
      <w:r w:rsidR="0046098B">
        <w:rPr>
          <w:rFonts w:ascii="Arial Black" w:hAnsi="Arial Black"/>
          <w:sz w:val="18"/>
          <w:szCs w:val="18"/>
          <w:lang w:val="fr-FR"/>
        </w:rPr>
        <w:tab/>
      </w:r>
    </w:p>
    <w:p w:rsidR="0046098B" w:rsidRDefault="0046098B" w:rsidP="0046098B">
      <w:pPr>
        <w:pStyle w:val="BodyText"/>
      </w:pPr>
      <w:r w:rsidRPr="0046098B">
        <w:t xml:space="preserve">The COVID-19 virus and the threat of its spread has greatly impacted </w:t>
      </w:r>
      <w:r w:rsidR="008E534D">
        <w:t>the nation and our Weatherization Assistance Program.</w:t>
      </w:r>
    </w:p>
    <w:p w:rsidR="00FD1F91" w:rsidRDefault="00FD1F91" w:rsidP="0046098B">
      <w:pPr>
        <w:pStyle w:val="BodyText"/>
      </w:pPr>
      <w:r>
        <w:t xml:space="preserve">We urge all of our network of weatherization providers, their </w:t>
      </w:r>
      <w:r w:rsidR="0038453D">
        <w:t xml:space="preserve">employees, </w:t>
      </w:r>
      <w:r>
        <w:t xml:space="preserve">contractors, vendors and clients to follow the advice of the CDC and other health providers in order to reduce risk of contracting or spreading the COVID-19 virus. </w:t>
      </w:r>
    </w:p>
    <w:p w:rsidR="00FD1F91" w:rsidRDefault="00FD1F91" w:rsidP="0046098B">
      <w:pPr>
        <w:pStyle w:val="BodyText"/>
      </w:pPr>
      <w:r>
        <w:t xml:space="preserve">In order to alleviate concerns, the Arizona Department of Housing (ADOH) is implementing several temporary policy changes </w:t>
      </w:r>
      <w:r w:rsidR="00E96782">
        <w:t xml:space="preserve">as of March 1, 2020 </w:t>
      </w:r>
      <w:r>
        <w:t>for the Weatherization Assistance Program as follows:</w:t>
      </w:r>
    </w:p>
    <w:p w:rsidR="00E96782" w:rsidRDefault="00E96782" w:rsidP="00E96782">
      <w:pPr>
        <w:pStyle w:val="BodyText"/>
        <w:numPr>
          <w:ilvl w:val="0"/>
          <w:numId w:val="4"/>
        </w:numPr>
      </w:pPr>
      <w:r>
        <w:t xml:space="preserve">Income qualification documentation and all related back-up will be valid for a period of not more than 12 months from the date of initial intake. </w:t>
      </w:r>
    </w:p>
    <w:p w:rsidR="00FD1F91" w:rsidRDefault="00E96782" w:rsidP="00633BFF">
      <w:pPr>
        <w:pStyle w:val="BodyText"/>
        <w:numPr>
          <w:ilvl w:val="0"/>
          <w:numId w:val="4"/>
        </w:numPr>
      </w:pPr>
      <w:r>
        <w:t xml:space="preserve">Electronic signatures or scanned copies of signatures will be allowed. </w:t>
      </w:r>
    </w:p>
    <w:p w:rsidR="00E96782" w:rsidRDefault="00E96782" w:rsidP="00633BFF">
      <w:pPr>
        <w:pStyle w:val="BodyText"/>
        <w:numPr>
          <w:ilvl w:val="0"/>
          <w:numId w:val="4"/>
        </w:numPr>
      </w:pPr>
      <w:r>
        <w:t>ADOH will allow p</w:t>
      </w:r>
      <w:r w:rsidR="001D1276">
        <w:t xml:space="preserve">artial payments to contractors </w:t>
      </w:r>
      <w:r>
        <w:t>on jobs that have not yet been completed</w:t>
      </w:r>
      <w:r w:rsidR="001D1276">
        <w:t>,</w:t>
      </w:r>
      <w:r>
        <w:t xml:space="preserve"> QCI</w:t>
      </w:r>
      <w:r w:rsidR="001D1276">
        <w:t xml:space="preserve"> (DOE)</w:t>
      </w:r>
      <w:r>
        <w:t xml:space="preserve"> </w:t>
      </w:r>
      <w:r w:rsidR="001D1276">
        <w:t xml:space="preserve">or Final (LIHEAP, SWG) </w:t>
      </w:r>
      <w:r>
        <w:t>inspected under these conditions:</w:t>
      </w:r>
    </w:p>
    <w:p w:rsidR="001D1276" w:rsidRPr="0046098B" w:rsidRDefault="001D1276" w:rsidP="001D1276">
      <w:pPr>
        <w:pStyle w:val="BodyText"/>
        <w:numPr>
          <w:ilvl w:val="1"/>
          <w:numId w:val="4"/>
        </w:numPr>
      </w:pPr>
      <w:r>
        <w:t>Sub-grantees must retain 10% of the total job costs until such time as the job is completed and passes either a QCI (DOE) or Final (LIHEAP, SWG) Inspection. Evidence of the 10% retainer should be included with any request for payment. (i.e. total invoice from Mr. Expert Fixit is $7000, Sub-grantee approves payment of $6,300 on the invoice</w:t>
      </w:r>
      <w:r w:rsidR="0038453D">
        <w:t>,</w:t>
      </w:r>
      <w:r w:rsidR="00F438C2">
        <w:t xml:space="preserve"> copy of payment to contractor for $6,300, Request for Payment Form page 2 breakdown requests $6,300 in reimbursement)</w:t>
      </w:r>
    </w:p>
    <w:p w:rsidR="0038453D" w:rsidRDefault="0038453D" w:rsidP="00E96782">
      <w:pPr>
        <w:pStyle w:val="BodyText"/>
        <w:numPr>
          <w:ilvl w:val="1"/>
          <w:numId w:val="4"/>
        </w:numPr>
      </w:pPr>
      <w:r>
        <w:t xml:space="preserve">Sub-grantees must complete the work performed tab of the AZWAP database to the best of their abilities. ADOH understands there will be changes. Due to this requirement items c. and d. below are critically important. </w:t>
      </w:r>
    </w:p>
    <w:p w:rsidR="001D1276" w:rsidRDefault="00E96782" w:rsidP="00E96782">
      <w:pPr>
        <w:pStyle w:val="BodyText"/>
        <w:numPr>
          <w:ilvl w:val="1"/>
          <w:numId w:val="4"/>
        </w:numPr>
      </w:pPr>
      <w:r>
        <w:lastRenderedPageBreak/>
        <w:t xml:space="preserve">Sub-grantees must not mark the </w:t>
      </w:r>
      <w:r w:rsidR="001D1276">
        <w:t xml:space="preserve">DOE funded </w:t>
      </w:r>
      <w:r>
        <w:t>jobs as completed in the AZWAP Database unless they have passed a QCI In</w:t>
      </w:r>
      <w:r w:rsidR="001D1276">
        <w:t xml:space="preserve">spection. </w:t>
      </w:r>
    </w:p>
    <w:p w:rsidR="00E96782" w:rsidRDefault="001D1276" w:rsidP="00E96782">
      <w:pPr>
        <w:pStyle w:val="BodyText"/>
        <w:numPr>
          <w:ilvl w:val="1"/>
          <w:numId w:val="4"/>
        </w:numPr>
      </w:pPr>
      <w:r>
        <w:t xml:space="preserve">Sub-grantees must not mark the LIHEAP or SWG funded jobs as completed unless they have passed the Final Inspection by Sub-grantee Staff or Contracted WAP Administrator. </w:t>
      </w:r>
    </w:p>
    <w:p w:rsidR="00C04571" w:rsidRDefault="001D1276" w:rsidP="00D75DCF">
      <w:pPr>
        <w:pStyle w:val="BodyText"/>
        <w:numPr>
          <w:ilvl w:val="1"/>
          <w:numId w:val="4"/>
        </w:numPr>
      </w:pPr>
      <w:r>
        <w:t xml:space="preserve">Sub-grantees must </w:t>
      </w:r>
      <w:r w:rsidR="0038453D">
        <w:t xml:space="preserve">not prepare a Job Cost Submittal that includes any jobs that are incomplete or have not been QCI (DOE) or Final (LIHEAP, SWG) inspected. Once the jobs are fully completed, they should be listed on the Job Cost Submittal. ADOH will be keeping a spreadsheet on partial payments on all jobs. </w:t>
      </w:r>
      <w:r>
        <w:t xml:space="preserve"> </w:t>
      </w:r>
    </w:p>
    <w:p w:rsidR="00C04571" w:rsidRDefault="00C04571" w:rsidP="00C04571">
      <w:pPr>
        <w:pStyle w:val="BodyText"/>
        <w:numPr>
          <w:ilvl w:val="1"/>
          <w:numId w:val="4"/>
        </w:numPr>
      </w:pPr>
      <w:r w:rsidRPr="00C04571">
        <w:t>DOE encourages agencies to follow their established, written policies aligned with 2 CFR Part 200 related to use of administrative funds. Administrative funds are not tied to specific production targets by federal rule. However, Grantees may have policies limiting administrative drawn down based on total expenditures. As for labor costs, including salary and fringe benefits, under the Uniform Guidance, agencies can charge the cost of leave to federal grants so long as: (</w:t>
      </w:r>
      <w:proofErr w:type="spellStart"/>
      <w:r w:rsidRPr="00C04571">
        <w:t>i</w:t>
      </w:r>
      <w:proofErr w:type="spellEnd"/>
      <w:r w:rsidRPr="00C04571">
        <w:t xml:space="preserve">) the leave is provided under established written leave policies; (ii) the costs are equitably allocated to all related activities; and (iii) the organization uses a consistent accounting basis for costing each type of leave (2 CFR § 200.431(b)). </w:t>
      </w:r>
      <w:r>
        <w:t xml:space="preserve">As 2 CFR Part 200 applies to all federal funding, this would apply to LIHEAP funding as well.   </w:t>
      </w:r>
    </w:p>
    <w:p w:rsidR="002A47CD" w:rsidRDefault="002A47CD" w:rsidP="00907EA7">
      <w:pPr>
        <w:pStyle w:val="BodyText"/>
        <w:numPr>
          <w:ilvl w:val="0"/>
          <w:numId w:val="4"/>
        </w:numPr>
      </w:pPr>
      <w:r>
        <w:t>ADOH understands that until jobs can be counted as completed, each WAP Sub-grantees average cost per unit (ACPU)</w:t>
      </w:r>
      <w:r w:rsidR="00A41BA8">
        <w:t xml:space="preserve"> may</w:t>
      </w:r>
      <w:r>
        <w:t xml:space="preserve"> be over the allowable </w:t>
      </w:r>
      <w:r w:rsidR="00A41BA8">
        <w:t xml:space="preserve">cap </w:t>
      </w:r>
      <w:r>
        <w:t xml:space="preserve">until such time as the jobs are closed out. </w:t>
      </w:r>
      <w:r w:rsidR="00A41BA8">
        <w:t xml:space="preserve">DOE has advised </w:t>
      </w:r>
      <w:r>
        <w:t xml:space="preserve">at the close out of </w:t>
      </w:r>
      <w:r w:rsidR="00A41BA8">
        <w:t>a program year</w:t>
      </w:r>
      <w:r>
        <w:t xml:space="preserve">, each Sub-grantee’s </w:t>
      </w:r>
      <w:r w:rsidR="00907EA7">
        <w:t xml:space="preserve">ACPU for each funding source must be at or below the cap. </w:t>
      </w:r>
      <w:r w:rsidR="00A41BA8">
        <w:t xml:space="preserve">However, DOE is considering combing Program Years 2019 and 2020 and using the ACPU for 2020 of $7,669 and figuring the ACPU at the end of </w:t>
      </w:r>
      <w:r w:rsidR="00CF72E1">
        <w:t xml:space="preserve">Program Year 2020 on June 30, 2021. </w:t>
      </w:r>
      <w:r w:rsidR="00907EA7">
        <w:t>Currently, ACPU Caps are as follows:</w:t>
      </w:r>
    </w:p>
    <w:p w:rsidR="00907EA7" w:rsidRDefault="00CF72E1" w:rsidP="00907EA7">
      <w:pPr>
        <w:pStyle w:val="BodyText"/>
        <w:numPr>
          <w:ilvl w:val="1"/>
          <w:numId w:val="4"/>
        </w:numPr>
      </w:pPr>
      <w:r>
        <w:t>DOE = $7,541</w:t>
      </w:r>
    </w:p>
    <w:p w:rsidR="00CF72E1" w:rsidRDefault="00CF72E1" w:rsidP="00907EA7">
      <w:pPr>
        <w:pStyle w:val="BodyText"/>
        <w:numPr>
          <w:ilvl w:val="1"/>
          <w:numId w:val="4"/>
        </w:numPr>
      </w:pPr>
      <w:r>
        <w:t>LIHEAP = $10,000</w:t>
      </w:r>
    </w:p>
    <w:p w:rsidR="00CF72E1" w:rsidRDefault="00CF72E1" w:rsidP="00907EA7">
      <w:pPr>
        <w:pStyle w:val="BodyText"/>
        <w:numPr>
          <w:ilvl w:val="1"/>
          <w:numId w:val="4"/>
        </w:numPr>
      </w:pPr>
      <w:r>
        <w:t>SWG = $3300</w:t>
      </w:r>
    </w:p>
    <w:p w:rsidR="00747C6E" w:rsidRDefault="00747C6E" w:rsidP="00747C6E">
      <w:pPr>
        <w:pStyle w:val="BodyText"/>
      </w:pPr>
      <w:r>
        <w:t>As a reminder, t</w:t>
      </w:r>
      <w:r w:rsidRPr="00747C6E">
        <w:t>he decision as to whether or not to continue to have staff in the office or out in the field at client homes falls to your City, County, Regional Council or Non-pr</w:t>
      </w:r>
      <w:r>
        <w:t>ofit management. ADOH will not </w:t>
      </w:r>
      <w:r w:rsidRPr="00747C6E">
        <w:t>make these determinations. </w:t>
      </w:r>
    </w:p>
    <w:p w:rsidR="00747C6E" w:rsidRDefault="00747C6E" w:rsidP="00747C6E">
      <w:pPr>
        <w:pStyle w:val="BodyText"/>
      </w:pPr>
      <w:r>
        <w:t>ADOH is here to provide guidance or technical assistance as appropriate. Please do not hesitate to contact us with questions.</w:t>
      </w:r>
      <w:bookmarkStart w:id="0" w:name="_GoBack"/>
      <w:bookmarkEnd w:id="0"/>
    </w:p>
    <w:p w:rsidR="00747C6E" w:rsidRDefault="00747C6E" w:rsidP="00747C6E">
      <w:pPr>
        <w:pStyle w:val="BodyText"/>
      </w:pPr>
    </w:p>
    <w:p w:rsidR="00747C6E" w:rsidRDefault="00747C6E" w:rsidP="00747C6E">
      <w:pPr>
        <w:pStyle w:val="BodyText"/>
      </w:pPr>
      <w:r>
        <w:t>Katherine E. Blodgett, PCED</w:t>
      </w:r>
    </w:p>
    <w:p w:rsidR="00747C6E" w:rsidRPr="00C04571" w:rsidRDefault="00747C6E" w:rsidP="00747C6E">
      <w:pPr>
        <w:pStyle w:val="BodyText"/>
      </w:pPr>
      <w:r>
        <w:t>CDR Programs Administrator</w:t>
      </w:r>
    </w:p>
    <w:p w:rsidR="00D4780C" w:rsidRPr="0046098B" w:rsidRDefault="00D4780C" w:rsidP="00C72E0A"/>
    <w:p w:rsidR="00D4780C" w:rsidRPr="0046098B" w:rsidRDefault="00D4780C" w:rsidP="00C72E0A"/>
    <w:sectPr w:rsidR="00D4780C" w:rsidRPr="0046098B" w:rsidSect="00791F57">
      <w:headerReference w:type="default" r:id="rId8"/>
      <w:headerReference w:type="first" r:id="rId9"/>
      <w:pgSz w:w="12240" w:h="15840"/>
      <w:pgMar w:top="1872"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549" w:rsidRDefault="003D2549" w:rsidP="00D47C68">
      <w:pPr>
        <w:spacing w:after="0" w:line="240" w:lineRule="auto"/>
      </w:pPr>
      <w:r>
        <w:separator/>
      </w:r>
    </w:p>
  </w:endnote>
  <w:endnote w:type="continuationSeparator" w:id="0">
    <w:p w:rsidR="003D2549" w:rsidRDefault="003D2549" w:rsidP="00D4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549" w:rsidRDefault="003D2549" w:rsidP="00D47C68">
      <w:pPr>
        <w:spacing w:after="0" w:line="240" w:lineRule="auto"/>
      </w:pPr>
      <w:r>
        <w:separator/>
      </w:r>
    </w:p>
  </w:footnote>
  <w:footnote w:type="continuationSeparator" w:id="0">
    <w:p w:rsidR="003D2549" w:rsidRDefault="003D2549" w:rsidP="00D47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8F4" w:rsidRDefault="0038453D">
    <w:pPr>
      <w:pStyle w:val="Header"/>
      <w:rPr>
        <w:rFonts w:ascii="Palatino Linotype" w:hAnsi="Palatino Linotype"/>
        <w:sz w:val="18"/>
        <w:szCs w:val="18"/>
      </w:rPr>
    </w:pPr>
    <w:r>
      <w:rPr>
        <w:rFonts w:ascii="Palatino Linotype" w:hAnsi="Palatino Linotype"/>
        <w:sz w:val="18"/>
        <w:szCs w:val="18"/>
      </w:rPr>
      <w:t>COVID-19 Temporary WAP Policy Changes</w:t>
    </w:r>
  </w:p>
  <w:p w:rsidR="00D47C68" w:rsidRPr="00D47C68" w:rsidRDefault="0038453D">
    <w:pPr>
      <w:pStyle w:val="Header"/>
      <w:rPr>
        <w:rFonts w:ascii="Palatino Linotype" w:hAnsi="Palatino Linotype"/>
        <w:sz w:val="18"/>
        <w:szCs w:val="18"/>
      </w:rPr>
    </w:pPr>
    <w:r>
      <w:rPr>
        <w:rFonts w:ascii="Palatino Linotype" w:hAnsi="Palatino Linotype"/>
        <w:sz w:val="18"/>
        <w:szCs w:val="18"/>
      </w:rPr>
      <w:t>March 27, 2020</w:t>
    </w:r>
  </w:p>
  <w:p w:rsidR="00D47C68" w:rsidRPr="00D47C68" w:rsidRDefault="00D47C68">
    <w:pPr>
      <w:pStyle w:val="Header"/>
      <w:rPr>
        <w:rFonts w:ascii="Palatino Linotype" w:hAnsi="Palatino Linotype"/>
        <w:sz w:val="18"/>
        <w:szCs w:val="18"/>
      </w:rPr>
    </w:pPr>
    <w:r w:rsidRPr="00D47C68">
      <w:rPr>
        <w:rFonts w:ascii="Palatino Linotype" w:hAnsi="Palatino Linotype"/>
        <w:sz w:val="18"/>
        <w:szCs w:val="18"/>
      </w:rPr>
      <w:t xml:space="preserve">Page </w:t>
    </w:r>
    <w:r w:rsidRPr="00D47C68">
      <w:rPr>
        <w:rFonts w:ascii="Palatino Linotype" w:hAnsi="Palatino Linotype"/>
        <w:sz w:val="18"/>
        <w:szCs w:val="18"/>
      </w:rPr>
      <w:fldChar w:fldCharType="begin"/>
    </w:r>
    <w:r w:rsidRPr="00D47C68">
      <w:rPr>
        <w:rFonts w:ascii="Palatino Linotype" w:hAnsi="Palatino Linotype"/>
        <w:sz w:val="18"/>
        <w:szCs w:val="18"/>
      </w:rPr>
      <w:instrText xml:space="preserve"> PAGE   \* MERGEFORMAT </w:instrText>
    </w:r>
    <w:r w:rsidRPr="00D47C68">
      <w:rPr>
        <w:rFonts w:ascii="Palatino Linotype" w:hAnsi="Palatino Linotype"/>
        <w:sz w:val="18"/>
        <w:szCs w:val="18"/>
      </w:rPr>
      <w:fldChar w:fldCharType="separate"/>
    </w:r>
    <w:r w:rsidR="00597BCF">
      <w:rPr>
        <w:rFonts w:ascii="Palatino Linotype" w:hAnsi="Palatino Linotype"/>
        <w:noProof/>
        <w:sz w:val="18"/>
        <w:szCs w:val="18"/>
      </w:rPr>
      <w:t>2</w:t>
    </w:r>
    <w:r w:rsidRPr="00D47C68">
      <w:rPr>
        <w:rFonts w:ascii="Palatino Linotype" w:hAnsi="Palatino Linotype"/>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68" w:rsidRPr="00A72356" w:rsidRDefault="00791F57" w:rsidP="00791F57">
    <w:pPr>
      <w:pStyle w:val="Header"/>
      <w:tabs>
        <w:tab w:val="clear" w:pos="4680"/>
        <w:tab w:val="clear" w:pos="9360"/>
      </w:tabs>
    </w:pPr>
    <w:r>
      <w:rPr>
        <w:noProof/>
      </w:rPr>
      <w:drawing>
        <wp:anchor distT="0" distB="0" distL="114300" distR="114300" simplePos="0" relativeHeight="251659264" behindDoc="1" locked="0" layoutInCell="1" allowOverlap="1" wp14:anchorId="3C40115F" wp14:editId="00E74E38">
          <wp:simplePos x="0" y="0"/>
          <wp:positionH relativeFrom="column">
            <wp:posOffset>26035</wp:posOffset>
          </wp:positionH>
          <wp:positionV relativeFrom="paragraph">
            <wp:posOffset>-219075</wp:posOffset>
          </wp:positionV>
          <wp:extent cx="6492240" cy="1915160"/>
          <wp:effectExtent l="0" t="0" r="3810" b="8890"/>
          <wp:wrapTight wrapText="bothSides">
            <wp:wrapPolygon edited="0">
              <wp:start x="0" y="0"/>
              <wp:lineTo x="0" y="21485"/>
              <wp:lineTo x="21549" y="21485"/>
              <wp:lineTo x="215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ol Ditmore -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2240" cy="1915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4247"/>
    <w:multiLevelType w:val="hybridMultilevel"/>
    <w:tmpl w:val="BB646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D0EFC"/>
    <w:multiLevelType w:val="hybridMultilevel"/>
    <w:tmpl w:val="FD18411A"/>
    <w:lvl w:ilvl="0" w:tplc="6354F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9776C4"/>
    <w:multiLevelType w:val="hybridMultilevel"/>
    <w:tmpl w:val="382A2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4320D6"/>
    <w:multiLevelType w:val="hybridMultilevel"/>
    <w:tmpl w:val="474A6786"/>
    <w:lvl w:ilvl="0" w:tplc="6954150C">
      <w:start w:val="1"/>
      <w:numFmt w:val="bullet"/>
      <w:pStyle w:val="ListParagraph"/>
      <w:lvlText w:val=""/>
      <w:lvlJc w:val="left"/>
      <w:pPr>
        <w:ind w:left="720" w:hanging="360"/>
      </w:pPr>
      <w:rPr>
        <w:rFonts w:ascii="Symbol" w:hAnsi="Symbol" w:hint="default"/>
      </w:rPr>
    </w:lvl>
    <w:lvl w:ilvl="1" w:tplc="02CC8D7C">
      <w:start w:val="1"/>
      <w:numFmt w:val="bullet"/>
      <w:pStyle w:val="ListParagraph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49"/>
    <w:rsid w:val="00031C37"/>
    <w:rsid w:val="001615B9"/>
    <w:rsid w:val="001D1276"/>
    <w:rsid w:val="001E06F6"/>
    <w:rsid w:val="002A47CD"/>
    <w:rsid w:val="00347B13"/>
    <w:rsid w:val="0038453D"/>
    <w:rsid w:val="003B09A2"/>
    <w:rsid w:val="003D2549"/>
    <w:rsid w:val="0046098B"/>
    <w:rsid w:val="004805BC"/>
    <w:rsid w:val="004E3716"/>
    <w:rsid w:val="00597BCF"/>
    <w:rsid w:val="005E5B8D"/>
    <w:rsid w:val="00667494"/>
    <w:rsid w:val="00747C6E"/>
    <w:rsid w:val="00752A3B"/>
    <w:rsid w:val="00791F57"/>
    <w:rsid w:val="008E534D"/>
    <w:rsid w:val="00907EA7"/>
    <w:rsid w:val="00990F3F"/>
    <w:rsid w:val="00A41BA8"/>
    <w:rsid w:val="00A72356"/>
    <w:rsid w:val="00B538F4"/>
    <w:rsid w:val="00B87216"/>
    <w:rsid w:val="00C04571"/>
    <w:rsid w:val="00C72E0A"/>
    <w:rsid w:val="00CF72E1"/>
    <w:rsid w:val="00D4780C"/>
    <w:rsid w:val="00D47C68"/>
    <w:rsid w:val="00E96782"/>
    <w:rsid w:val="00F20826"/>
    <w:rsid w:val="00F438C2"/>
    <w:rsid w:val="00FB27FD"/>
    <w:rsid w:val="00FD1F91"/>
    <w:rsid w:val="00FD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96A462"/>
  <w15:chartTrackingRefBased/>
  <w15:docId w15:val="{5ACBACA2-54B0-40AB-98AA-2FCEFD95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C68"/>
  </w:style>
  <w:style w:type="paragraph" w:styleId="Footer">
    <w:name w:val="footer"/>
    <w:basedOn w:val="Normal"/>
    <w:link w:val="FooterChar"/>
    <w:uiPriority w:val="99"/>
    <w:unhideWhenUsed/>
    <w:rsid w:val="00D47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C68"/>
  </w:style>
  <w:style w:type="paragraph" w:styleId="BalloonText">
    <w:name w:val="Balloon Text"/>
    <w:basedOn w:val="Normal"/>
    <w:link w:val="BalloonTextChar"/>
    <w:uiPriority w:val="99"/>
    <w:semiHidden/>
    <w:unhideWhenUsed/>
    <w:rsid w:val="00FD5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66C"/>
    <w:rPr>
      <w:rFonts w:ascii="Segoe UI" w:hAnsi="Segoe UI" w:cs="Segoe UI"/>
      <w:sz w:val="18"/>
      <w:szCs w:val="18"/>
    </w:rPr>
  </w:style>
  <w:style w:type="paragraph" w:styleId="ListParagraph">
    <w:name w:val="List Paragraph"/>
    <w:aliases w:val="Bullet 1"/>
    <w:basedOn w:val="Normal"/>
    <w:uiPriority w:val="34"/>
    <w:qFormat/>
    <w:rsid w:val="00F20826"/>
    <w:pPr>
      <w:numPr>
        <w:numId w:val="1"/>
      </w:numPr>
      <w:spacing w:after="120" w:line="276" w:lineRule="auto"/>
    </w:pPr>
    <w:rPr>
      <w:rFonts w:ascii="Arial" w:hAnsi="Arial" w:cs="Arial"/>
      <w:sz w:val="20"/>
      <w:szCs w:val="20"/>
    </w:rPr>
  </w:style>
  <w:style w:type="paragraph" w:customStyle="1" w:styleId="ListParagraph2">
    <w:name w:val="List Paragraph 2"/>
    <w:aliases w:val="Bullet 2"/>
    <w:basedOn w:val="Normal"/>
    <w:rsid w:val="00F20826"/>
    <w:pPr>
      <w:numPr>
        <w:ilvl w:val="1"/>
        <w:numId w:val="1"/>
      </w:numPr>
      <w:spacing w:after="120" w:line="276" w:lineRule="auto"/>
      <w:ind w:left="1080"/>
    </w:pPr>
    <w:rPr>
      <w:rFonts w:ascii="Arial" w:hAnsi="Arial" w:cs="Arial"/>
      <w:sz w:val="20"/>
      <w:szCs w:val="20"/>
    </w:rPr>
  </w:style>
  <w:style w:type="character" w:customStyle="1" w:styleId="MessageHeaderLabel">
    <w:name w:val="Message Header Label"/>
    <w:rsid w:val="001E06F6"/>
    <w:rPr>
      <w:rFonts w:ascii="Arial Black" w:hAnsi="Arial Black"/>
      <w:sz w:val="18"/>
    </w:rPr>
  </w:style>
  <w:style w:type="paragraph" w:customStyle="1" w:styleId="DocumentLabel">
    <w:name w:val="Document Label"/>
    <w:basedOn w:val="Normal"/>
    <w:next w:val="Normal"/>
    <w:rsid w:val="001E06F6"/>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First">
    <w:name w:val="Message Header First"/>
    <w:basedOn w:val="MessageHeader"/>
    <w:next w:val="MessageHeader"/>
    <w:rsid w:val="001E06F6"/>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paragraph" w:customStyle="1" w:styleId="MessageHeaderLast">
    <w:name w:val="Message Header Last"/>
    <w:basedOn w:val="MessageHeader"/>
    <w:next w:val="BodyText"/>
    <w:rsid w:val="001E06F6"/>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1E06F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E06F6"/>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1E06F6"/>
    <w:pPr>
      <w:spacing w:after="120"/>
    </w:pPr>
  </w:style>
  <w:style w:type="character" w:customStyle="1" w:styleId="BodyTextChar">
    <w:name w:val="Body Text Char"/>
    <w:basedOn w:val="DefaultParagraphFont"/>
    <w:link w:val="BodyText"/>
    <w:uiPriority w:val="99"/>
    <w:rsid w:val="001E06F6"/>
  </w:style>
  <w:style w:type="paragraph" w:customStyle="1" w:styleId="Default">
    <w:name w:val="Default"/>
    <w:rsid w:val="00C045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3BE3-C39D-4467-B700-0ED90385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Hoover</dc:creator>
  <cp:keywords/>
  <dc:description/>
  <cp:lastModifiedBy>Kathy Blodgett</cp:lastModifiedBy>
  <cp:revision>7</cp:revision>
  <cp:lastPrinted>2017-05-30T20:54:00Z</cp:lastPrinted>
  <dcterms:created xsi:type="dcterms:W3CDTF">2020-03-27T17:41:00Z</dcterms:created>
  <dcterms:modified xsi:type="dcterms:W3CDTF">2020-03-27T21:44:00Z</dcterms:modified>
</cp:coreProperties>
</file>