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8465" w14:textId="06F3A8CA" w:rsidR="00EC24D7" w:rsidRPr="00B9779C" w:rsidRDefault="00AB5856" w:rsidP="00EC24D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9779C">
        <w:rPr>
          <w:rFonts w:cstheme="minorHAnsi"/>
          <w:b/>
          <w:bCs/>
          <w:sz w:val="24"/>
          <w:szCs w:val="24"/>
        </w:rPr>
        <w:t>Streamlining Small Multi-Family Weatherization</w:t>
      </w:r>
      <w:r w:rsidR="00117C35" w:rsidRPr="00B9779C">
        <w:rPr>
          <w:rFonts w:cstheme="minorHAnsi"/>
          <w:b/>
          <w:bCs/>
          <w:sz w:val="24"/>
          <w:szCs w:val="24"/>
        </w:rPr>
        <w:t xml:space="preserve"> </w:t>
      </w:r>
    </w:p>
    <w:p w14:paraId="21EFC8B6" w14:textId="0C3B5ABA" w:rsidR="00FA2D39" w:rsidRPr="00B9779C" w:rsidRDefault="00EC24D7" w:rsidP="00FA2D39">
      <w:pPr>
        <w:spacing w:after="120"/>
        <w:jc w:val="center"/>
        <w:rPr>
          <w:rFonts w:cstheme="minorHAnsi"/>
        </w:rPr>
      </w:pPr>
      <w:r w:rsidRPr="00B9779C">
        <w:rPr>
          <w:rFonts w:cstheme="minorHAnsi"/>
        </w:rPr>
        <w:t xml:space="preserve">NASCSP Grantee Information Request – </w:t>
      </w:r>
      <w:r w:rsidR="00AB5856" w:rsidRPr="00B9779C">
        <w:rPr>
          <w:rFonts w:cstheme="minorHAnsi"/>
        </w:rPr>
        <w:t>August</w:t>
      </w:r>
      <w:r w:rsidRPr="00B9779C">
        <w:rPr>
          <w:rFonts w:cstheme="minorHAnsi"/>
        </w:rPr>
        <w:t xml:space="preserve"> 2021</w:t>
      </w:r>
    </w:p>
    <w:p w14:paraId="78F7FC60" w14:textId="26BF2D25" w:rsidR="00132CB5" w:rsidRDefault="00AB5856" w:rsidP="00B02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A2D39">
        <w:rPr>
          <w:rFonts w:asciiTheme="majorHAnsi" w:hAnsiTheme="majorHAnsi" w:cstheme="majorHAnsi"/>
          <w:sz w:val="24"/>
          <w:szCs w:val="24"/>
        </w:rPr>
        <w:t>Thirty-five</w:t>
      </w:r>
      <w:r w:rsidR="00CA4F76" w:rsidRPr="00FA2D39">
        <w:rPr>
          <w:rFonts w:asciiTheme="majorHAnsi" w:hAnsiTheme="majorHAnsi" w:cstheme="majorHAnsi"/>
          <w:sz w:val="24"/>
          <w:szCs w:val="24"/>
        </w:rPr>
        <w:t xml:space="preserve"> WAP Grantees responded to a NASCSP information request regarding </w:t>
      </w:r>
      <w:r w:rsidR="00573B56" w:rsidRPr="00FA2D39">
        <w:rPr>
          <w:rFonts w:asciiTheme="majorHAnsi" w:hAnsiTheme="majorHAnsi" w:cstheme="majorHAnsi"/>
          <w:sz w:val="24"/>
          <w:szCs w:val="24"/>
        </w:rPr>
        <w:t xml:space="preserve">their policies for </w:t>
      </w:r>
      <w:r w:rsidRPr="00FA2D39">
        <w:rPr>
          <w:rFonts w:asciiTheme="majorHAnsi" w:hAnsiTheme="majorHAnsi" w:cstheme="majorHAnsi"/>
          <w:sz w:val="24"/>
          <w:szCs w:val="24"/>
        </w:rPr>
        <w:t xml:space="preserve">weatherizing small multi-family </w:t>
      </w:r>
      <w:r w:rsidR="00241FB6">
        <w:rPr>
          <w:rFonts w:asciiTheme="majorHAnsi" w:hAnsiTheme="majorHAnsi" w:cstheme="majorHAnsi"/>
          <w:sz w:val="24"/>
          <w:szCs w:val="24"/>
        </w:rPr>
        <w:t xml:space="preserve">units </w:t>
      </w:r>
      <w:r w:rsidRPr="00FA2D39">
        <w:rPr>
          <w:rFonts w:asciiTheme="majorHAnsi" w:hAnsiTheme="majorHAnsi" w:cstheme="majorHAnsi"/>
          <w:sz w:val="24"/>
          <w:szCs w:val="24"/>
        </w:rPr>
        <w:t>(SMF = 2 to 24 units)</w:t>
      </w:r>
      <w:r w:rsidR="00DB1A2B" w:rsidRPr="00FA2D39">
        <w:rPr>
          <w:rFonts w:asciiTheme="majorHAnsi" w:hAnsiTheme="majorHAnsi" w:cstheme="majorHAnsi"/>
          <w:sz w:val="24"/>
          <w:szCs w:val="24"/>
        </w:rPr>
        <w:t>.</w:t>
      </w:r>
      <w:r w:rsidRPr="00FA2D3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4D5197B" w14:textId="77777777" w:rsidR="00B027B6" w:rsidRPr="00FA2D39" w:rsidRDefault="00B027B6" w:rsidP="00B02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5558B83" w14:textId="371405FE" w:rsidR="0017480F" w:rsidRPr="00FA2D39" w:rsidRDefault="008C3C10" w:rsidP="00B02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A2D3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4384" behindDoc="0" locked="0" layoutInCell="1" allowOverlap="1" wp14:anchorId="74245AD6" wp14:editId="20921F46">
            <wp:simplePos x="0" y="0"/>
            <wp:positionH relativeFrom="column">
              <wp:posOffset>28575</wp:posOffset>
            </wp:positionH>
            <wp:positionV relativeFrom="paragraph">
              <wp:posOffset>971550</wp:posOffset>
            </wp:positionV>
            <wp:extent cx="5599430" cy="2352675"/>
            <wp:effectExtent l="0" t="0" r="1270" b="9525"/>
            <wp:wrapThrough wrapText="bothSides">
              <wp:wrapPolygon edited="0">
                <wp:start x="0" y="0"/>
                <wp:lineTo x="0" y="21513"/>
                <wp:lineTo x="21531" y="21513"/>
                <wp:lineTo x="21531" y="0"/>
                <wp:lineTo x="0" y="0"/>
              </wp:wrapPolygon>
            </wp:wrapThrough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E15ED538-C3C6-48E4-B3C7-8B9CAA3262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B56" w:rsidRPr="00FA2D39">
        <w:rPr>
          <w:rFonts w:asciiTheme="majorHAnsi" w:hAnsiTheme="majorHAnsi" w:cstheme="majorHAnsi"/>
          <w:b/>
          <w:bCs/>
          <w:sz w:val="24"/>
          <w:szCs w:val="24"/>
        </w:rPr>
        <w:t>Funding Sources</w:t>
      </w:r>
      <w:r w:rsidR="000601A4" w:rsidRPr="00FA2D39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3705DE" w:rsidRPr="00FA2D39">
        <w:rPr>
          <w:rFonts w:asciiTheme="majorHAnsi" w:hAnsiTheme="majorHAnsi" w:cstheme="majorHAnsi"/>
          <w:sz w:val="24"/>
          <w:szCs w:val="24"/>
        </w:rPr>
        <w:t xml:space="preserve">Of the grantees who responded, 80% already weatherize SMF units. </w:t>
      </w:r>
      <w:r w:rsidR="00F74155" w:rsidRPr="00FA2D39">
        <w:rPr>
          <w:rFonts w:asciiTheme="majorHAnsi" w:hAnsiTheme="majorHAnsi" w:cstheme="majorHAnsi"/>
          <w:sz w:val="24"/>
          <w:szCs w:val="24"/>
        </w:rPr>
        <w:t xml:space="preserve">The majority of these </w:t>
      </w:r>
      <w:r w:rsidR="00EF6FF7">
        <w:rPr>
          <w:rFonts w:asciiTheme="majorHAnsi" w:hAnsiTheme="majorHAnsi" w:cstheme="majorHAnsi"/>
          <w:sz w:val="24"/>
          <w:szCs w:val="24"/>
        </w:rPr>
        <w:t>grantee</w:t>
      </w:r>
      <w:r w:rsidR="00F74155" w:rsidRPr="00FA2D39">
        <w:rPr>
          <w:rFonts w:asciiTheme="majorHAnsi" w:hAnsiTheme="majorHAnsi" w:cstheme="majorHAnsi"/>
          <w:sz w:val="24"/>
          <w:szCs w:val="24"/>
        </w:rPr>
        <w:t>s utilize a</w:t>
      </w:r>
      <w:r w:rsidR="0017480F" w:rsidRPr="00FA2D39">
        <w:rPr>
          <w:rFonts w:asciiTheme="majorHAnsi" w:hAnsiTheme="majorHAnsi" w:cstheme="majorHAnsi"/>
          <w:sz w:val="24"/>
          <w:szCs w:val="24"/>
        </w:rPr>
        <w:t xml:space="preserve"> combination of federal funding</w:t>
      </w:r>
      <w:r w:rsidR="00064C8F" w:rsidRPr="00FA2D39">
        <w:rPr>
          <w:rFonts w:asciiTheme="majorHAnsi" w:hAnsiTheme="majorHAnsi" w:cstheme="majorHAnsi"/>
          <w:sz w:val="24"/>
          <w:szCs w:val="24"/>
        </w:rPr>
        <w:t xml:space="preserve"> (DOE funds and</w:t>
      </w:r>
      <w:r>
        <w:rPr>
          <w:rFonts w:asciiTheme="majorHAnsi" w:hAnsiTheme="majorHAnsi" w:cstheme="majorHAnsi"/>
          <w:sz w:val="24"/>
          <w:szCs w:val="24"/>
        </w:rPr>
        <w:t>/or</w:t>
      </w:r>
      <w:r w:rsidR="00064C8F" w:rsidRPr="00FA2D39">
        <w:rPr>
          <w:rFonts w:asciiTheme="majorHAnsi" w:hAnsiTheme="majorHAnsi" w:cstheme="majorHAnsi"/>
          <w:sz w:val="24"/>
          <w:szCs w:val="24"/>
        </w:rPr>
        <w:t xml:space="preserve"> LIHEAP funds)</w:t>
      </w:r>
      <w:r w:rsidR="00AF55CE" w:rsidRPr="00FA2D39">
        <w:rPr>
          <w:rFonts w:asciiTheme="majorHAnsi" w:hAnsiTheme="majorHAnsi" w:cstheme="majorHAnsi"/>
          <w:sz w:val="24"/>
          <w:szCs w:val="24"/>
        </w:rPr>
        <w:t xml:space="preserve">, state funding, and </w:t>
      </w:r>
      <w:r w:rsidR="003705DE" w:rsidRPr="00FA2D39">
        <w:rPr>
          <w:rFonts w:asciiTheme="majorHAnsi" w:hAnsiTheme="majorHAnsi" w:cstheme="majorHAnsi"/>
          <w:sz w:val="24"/>
          <w:szCs w:val="24"/>
        </w:rPr>
        <w:t>utility funding</w:t>
      </w:r>
      <w:r w:rsidR="0017480F" w:rsidRPr="00FA2D39">
        <w:rPr>
          <w:rFonts w:asciiTheme="majorHAnsi" w:hAnsiTheme="majorHAnsi" w:cstheme="majorHAnsi"/>
          <w:sz w:val="24"/>
          <w:szCs w:val="24"/>
        </w:rPr>
        <w:t xml:space="preserve">. </w:t>
      </w:r>
      <w:r w:rsidR="00F74155" w:rsidRPr="00FA2D39">
        <w:rPr>
          <w:rFonts w:asciiTheme="majorHAnsi" w:hAnsiTheme="majorHAnsi" w:cstheme="majorHAnsi"/>
          <w:sz w:val="24"/>
          <w:szCs w:val="24"/>
        </w:rPr>
        <w:t>43</w:t>
      </w:r>
      <w:r w:rsidR="0017480F" w:rsidRPr="00FA2D39">
        <w:rPr>
          <w:rFonts w:asciiTheme="majorHAnsi" w:hAnsiTheme="majorHAnsi" w:cstheme="majorHAnsi"/>
          <w:sz w:val="24"/>
          <w:szCs w:val="24"/>
        </w:rPr>
        <w:t xml:space="preserve">% of respondents </w:t>
      </w:r>
      <w:r w:rsidR="00F74155" w:rsidRPr="00FA2D39">
        <w:rPr>
          <w:rFonts w:asciiTheme="majorHAnsi" w:hAnsiTheme="majorHAnsi" w:cstheme="majorHAnsi"/>
          <w:sz w:val="24"/>
          <w:szCs w:val="24"/>
        </w:rPr>
        <w:t>utilize</w:t>
      </w:r>
      <w:r w:rsidR="0017480F" w:rsidRPr="00FA2D39">
        <w:rPr>
          <w:rFonts w:asciiTheme="majorHAnsi" w:hAnsiTheme="majorHAnsi" w:cstheme="majorHAnsi"/>
          <w:sz w:val="24"/>
          <w:szCs w:val="24"/>
        </w:rPr>
        <w:t xml:space="preserve"> </w:t>
      </w:r>
      <w:r w:rsidR="00F74155" w:rsidRPr="00FA2D39">
        <w:rPr>
          <w:rFonts w:asciiTheme="majorHAnsi" w:hAnsiTheme="majorHAnsi" w:cstheme="majorHAnsi"/>
          <w:sz w:val="24"/>
          <w:szCs w:val="24"/>
        </w:rPr>
        <w:t>utility</w:t>
      </w:r>
      <w:r w:rsidR="0017480F" w:rsidRPr="00FA2D39">
        <w:rPr>
          <w:rFonts w:asciiTheme="majorHAnsi" w:hAnsiTheme="majorHAnsi" w:cstheme="majorHAnsi"/>
          <w:sz w:val="24"/>
          <w:szCs w:val="24"/>
        </w:rPr>
        <w:t xml:space="preserve"> funds, either solely or in combination with federal funds. </w:t>
      </w:r>
      <w:r w:rsidR="00F74155" w:rsidRPr="00FA2D39">
        <w:rPr>
          <w:rFonts w:asciiTheme="majorHAnsi" w:hAnsiTheme="majorHAnsi" w:cstheme="majorHAnsi"/>
          <w:sz w:val="24"/>
          <w:szCs w:val="24"/>
        </w:rPr>
        <w:t xml:space="preserve">18% of respondents use state funds in combination with other funds. </w:t>
      </w:r>
    </w:p>
    <w:p w14:paraId="4C7E75EE" w14:textId="782FCB41" w:rsidR="001A552E" w:rsidRDefault="00F74155" w:rsidP="00B027B6">
      <w:pPr>
        <w:spacing w:after="0" w:line="240" w:lineRule="auto"/>
        <w:rPr>
          <w:rFonts w:asciiTheme="majorHAnsi" w:hAnsiTheme="majorHAnsi" w:cstheme="majorHAnsi"/>
          <w:noProof/>
        </w:rPr>
      </w:pPr>
      <w:r w:rsidRPr="00FA2D39">
        <w:rPr>
          <w:rFonts w:asciiTheme="majorHAnsi" w:hAnsiTheme="majorHAnsi" w:cstheme="majorHAnsi"/>
          <w:b/>
          <w:bCs/>
          <w:sz w:val="24"/>
          <w:szCs w:val="24"/>
        </w:rPr>
        <w:t>Auditing</w:t>
      </w:r>
      <w:r w:rsidR="000601A4" w:rsidRPr="00FA2D39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026490" w:rsidRPr="00FA2D39">
        <w:rPr>
          <w:rFonts w:asciiTheme="majorHAnsi" w:hAnsiTheme="majorHAnsi" w:cstheme="majorHAnsi"/>
          <w:sz w:val="24"/>
          <w:szCs w:val="24"/>
        </w:rPr>
        <w:t xml:space="preserve">For </w:t>
      </w:r>
      <w:r w:rsidR="00EF6FF7">
        <w:rPr>
          <w:rFonts w:asciiTheme="majorHAnsi" w:hAnsiTheme="majorHAnsi" w:cstheme="majorHAnsi"/>
          <w:sz w:val="24"/>
          <w:szCs w:val="24"/>
        </w:rPr>
        <w:t>grantee</w:t>
      </w:r>
      <w:r w:rsidR="00026490" w:rsidRPr="00FA2D39">
        <w:rPr>
          <w:rFonts w:asciiTheme="majorHAnsi" w:hAnsiTheme="majorHAnsi" w:cstheme="majorHAnsi"/>
          <w:sz w:val="24"/>
          <w:szCs w:val="24"/>
        </w:rPr>
        <w:t xml:space="preserve">s that use LIHEAP, Utility, State, or Other funds to weatherize SMF, </w:t>
      </w:r>
      <w:r w:rsidR="00B027B6">
        <w:rPr>
          <w:rFonts w:asciiTheme="majorHAnsi" w:hAnsiTheme="majorHAnsi" w:cstheme="majorHAnsi"/>
          <w:sz w:val="24"/>
          <w:szCs w:val="24"/>
        </w:rPr>
        <w:t>59</w:t>
      </w:r>
      <w:r w:rsidR="00026490" w:rsidRPr="00FA2D39">
        <w:rPr>
          <w:rFonts w:asciiTheme="majorHAnsi" w:hAnsiTheme="majorHAnsi" w:cstheme="majorHAnsi"/>
          <w:sz w:val="24"/>
          <w:szCs w:val="24"/>
        </w:rPr>
        <w:t>%</w:t>
      </w:r>
      <w:r w:rsidR="00B027B6">
        <w:rPr>
          <w:rFonts w:asciiTheme="majorHAnsi" w:hAnsiTheme="majorHAnsi" w:cstheme="majorHAnsi"/>
          <w:sz w:val="24"/>
          <w:szCs w:val="24"/>
        </w:rPr>
        <w:t xml:space="preserve"> (19 states)</w:t>
      </w:r>
      <w:r w:rsidR="00026490" w:rsidRPr="00FA2D39">
        <w:rPr>
          <w:rFonts w:asciiTheme="majorHAnsi" w:hAnsiTheme="majorHAnsi" w:cstheme="majorHAnsi"/>
          <w:sz w:val="24"/>
          <w:szCs w:val="24"/>
        </w:rPr>
        <w:t xml:space="preserve"> use the Electronic Energy Audit.</w:t>
      </w:r>
      <w:r w:rsidR="009139CE" w:rsidRPr="00FA2D39">
        <w:rPr>
          <w:rFonts w:asciiTheme="majorHAnsi" w:hAnsiTheme="majorHAnsi" w:cstheme="majorHAnsi"/>
          <w:sz w:val="24"/>
          <w:szCs w:val="24"/>
        </w:rPr>
        <w:t xml:space="preserve"> </w:t>
      </w:r>
      <w:r w:rsidR="00B027B6">
        <w:rPr>
          <w:rFonts w:asciiTheme="majorHAnsi" w:hAnsiTheme="majorHAnsi" w:cstheme="majorHAnsi"/>
          <w:sz w:val="24"/>
          <w:szCs w:val="24"/>
        </w:rPr>
        <w:t>6% of respondents use a Deemed Savings or other Measures List.</w:t>
      </w:r>
      <w:r w:rsidR="004021FB">
        <w:rPr>
          <w:rFonts w:asciiTheme="majorHAnsi" w:hAnsiTheme="majorHAnsi" w:cstheme="majorHAnsi"/>
          <w:sz w:val="24"/>
          <w:szCs w:val="24"/>
        </w:rPr>
        <w:t xml:space="preserve"> </w:t>
      </w:r>
      <w:r w:rsidR="00026490" w:rsidRPr="004021FB">
        <w:rPr>
          <w:rFonts w:asciiTheme="majorHAnsi" w:hAnsiTheme="majorHAnsi" w:cstheme="majorHAnsi"/>
          <w:sz w:val="24"/>
          <w:szCs w:val="24"/>
        </w:rPr>
        <w:t>The remaining grantees reported using: Energy audit for LIHEAP, various for CIPS/utilities (SIRs, lists), TIPS, TREAT, EAQUIP, DOE POC approval, priority list, NEAT energy audit, and Deemed Savings.</w:t>
      </w:r>
      <w:r w:rsidR="00FA2D39" w:rsidRPr="00FA2D39">
        <w:rPr>
          <w:rFonts w:asciiTheme="majorHAnsi" w:hAnsiTheme="majorHAnsi" w:cstheme="majorHAnsi"/>
          <w:noProof/>
        </w:rPr>
        <w:t xml:space="preserve"> </w:t>
      </w:r>
    </w:p>
    <w:p w14:paraId="7B2B7392" w14:textId="7E262B2C" w:rsidR="008C3C10" w:rsidRDefault="00EF6FF7" w:rsidP="008042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806BC4" wp14:editId="4BEAA17A">
            <wp:simplePos x="0" y="0"/>
            <wp:positionH relativeFrom="margin">
              <wp:posOffset>57150</wp:posOffset>
            </wp:positionH>
            <wp:positionV relativeFrom="paragraph">
              <wp:posOffset>144145</wp:posOffset>
            </wp:positionV>
            <wp:extent cx="5562600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526" y="21493"/>
                <wp:lineTo x="21526" y="0"/>
                <wp:lineTo x="0" y="0"/>
              </wp:wrapPolygon>
            </wp:wrapThrough>
            <wp:docPr id="14" name="Chart 14">
              <a:extLst xmlns:a="http://schemas.openxmlformats.org/drawingml/2006/main">
                <a:ext uri="{FF2B5EF4-FFF2-40B4-BE49-F238E27FC236}">
                  <a16:creationId xmlns:a16="http://schemas.microsoft.com/office/drawing/2014/main" id="{21D636D1-6EBF-42F6-A836-30B89F938A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EAEE7" w14:textId="7A9D4327" w:rsidR="008042D5" w:rsidRDefault="008042D5" w:rsidP="008042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61CEF">
        <w:rPr>
          <w:rFonts w:asciiTheme="majorHAnsi" w:hAnsiTheme="majorHAnsi" w:cstheme="majorHAnsi"/>
          <w:sz w:val="24"/>
          <w:szCs w:val="24"/>
        </w:rPr>
        <w:t xml:space="preserve">Grantees were asked if simplifying the DOE energy audit process </w:t>
      </w:r>
      <w:r>
        <w:rPr>
          <w:rFonts w:asciiTheme="majorHAnsi" w:hAnsiTheme="majorHAnsi" w:cstheme="majorHAnsi"/>
          <w:sz w:val="24"/>
          <w:szCs w:val="24"/>
        </w:rPr>
        <w:t xml:space="preserve">would </w:t>
      </w:r>
      <w:r w:rsidRPr="00B61CEF">
        <w:rPr>
          <w:rFonts w:asciiTheme="majorHAnsi" w:hAnsiTheme="majorHAnsi" w:cstheme="majorHAnsi"/>
          <w:sz w:val="24"/>
          <w:szCs w:val="24"/>
        </w:rPr>
        <w:t xml:space="preserve">support the use of DOE funds in this housing type. </w:t>
      </w:r>
      <w:r w:rsidRPr="004021FB">
        <w:rPr>
          <w:rFonts w:asciiTheme="majorHAnsi" w:hAnsiTheme="majorHAnsi" w:cstheme="majorHAnsi"/>
          <w:b/>
          <w:bCs/>
          <w:sz w:val="24"/>
          <w:szCs w:val="24"/>
        </w:rPr>
        <w:t>Of the 35 respondents, 31 (89%) said yes</w:t>
      </w:r>
      <w:r w:rsidRPr="00B61CEF">
        <w:rPr>
          <w:rFonts w:asciiTheme="majorHAnsi" w:hAnsiTheme="majorHAnsi" w:cstheme="majorHAnsi"/>
          <w:sz w:val="24"/>
          <w:szCs w:val="24"/>
        </w:rPr>
        <w:t>. The remaining grantees said they are not sure.</w:t>
      </w:r>
    </w:p>
    <w:p w14:paraId="0A69FF8B" w14:textId="77777777" w:rsidR="008042D5" w:rsidRDefault="008042D5" w:rsidP="008042D5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B684428" w14:textId="1282C2E1" w:rsidR="00026490" w:rsidRPr="00FA2D39" w:rsidRDefault="00026490" w:rsidP="00B02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A2D39">
        <w:rPr>
          <w:rFonts w:asciiTheme="majorHAnsi" w:hAnsiTheme="majorHAnsi" w:cstheme="majorHAnsi"/>
          <w:b/>
          <w:bCs/>
          <w:sz w:val="24"/>
          <w:szCs w:val="24"/>
        </w:rPr>
        <w:t>Barriers:</w:t>
      </w:r>
      <w:r w:rsidRPr="00FA2D39">
        <w:rPr>
          <w:rFonts w:asciiTheme="majorHAnsi" w:hAnsiTheme="majorHAnsi" w:cstheme="majorHAnsi"/>
          <w:sz w:val="24"/>
          <w:szCs w:val="24"/>
        </w:rPr>
        <w:t xml:space="preserve"> When asked to describe the barriers to using DOE funds to weatherize SMF units, the majority (6</w:t>
      </w:r>
      <w:r w:rsidR="00B61CEF">
        <w:rPr>
          <w:rFonts w:asciiTheme="majorHAnsi" w:hAnsiTheme="majorHAnsi" w:cstheme="majorHAnsi"/>
          <w:sz w:val="24"/>
          <w:szCs w:val="24"/>
        </w:rPr>
        <w:t>3</w:t>
      </w:r>
      <w:r w:rsidRPr="00FA2D39">
        <w:rPr>
          <w:rFonts w:asciiTheme="majorHAnsi" w:hAnsiTheme="majorHAnsi" w:cstheme="majorHAnsi"/>
          <w:sz w:val="24"/>
          <w:szCs w:val="24"/>
        </w:rPr>
        <w:t xml:space="preserve">%) said the audit or building approval process. </w:t>
      </w:r>
      <w:r w:rsidR="00D53702">
        <w:rPr>
          <w:rFonts w:asciiTheme="majorHAnsi" w:hAnsiTheme="majorHAnsi" w:cstheme="majorHAnsi"/>
          <w:sz w:val="24"/>
          <w:szCs w:val="24"/>
        </w:rPr>
        <w:t xml:space="preserve">The second highest barrier reported (43%) was the need to meet ASHRAE ventilation requirements. The remaining barriers are shown below and some of the other barriers reported </w:t>
      </w:r>
      <w:r w:rsidR="008C3C10">
        <w:rPr>
          <w:rFonts w:asciiTheme="majorHAnsi" w:hAnsiTheme="majorHAnsi" w:cstheme="majorHAnsi"/>
          <w:sz w:val="24"/>
          <w:szCs w:val="24"/>
        </w:rPr>
        <w:t>include:</w:t>
      </w:r>
      <w:r w:rsidR="00D53702">
        <w:rPr>
          <w:rFonts w:asciiTheme="majorHAnsi" w:hAnsiTheme="majorHAnsi" w:cstheme="majorHAnsi"/>
          <w:sz w:val="24"/>
          <w:szCs w:val="24"/>
        </w:rPr>
        <w:t xml:space="preserve"> </w:t>
      </w:r>
      <w:r w:rsidR="00BF44FE">
        <w:rPr>
          <w:rFonts w:asciiTheme="majorHAnsi" w:hAnsiTheme="majorHAnsi" w:cstheme="majorHAnsi"/>
          <w:sz w:val="24"/>
          <w:szCs w:val="24"/>
        </w:rPr>
        <w:t>f</w:t>
      </w:r>
      <w:r w:rsidR="00D53702" w:rsidRPr="00D53702">
        <w:rPr>
          <w:rFonts w:asciiTheme="majorHAnsi" w:hAnsiTheme="majorHAnsi" w:cstheme="majorHAnsi"/>
          <w:sz w:val="24"/>
          <w:szCs w:val="24"/>
        </w:rPr>
        <w:t xml:space="preserve">inding </w:t>
      </w:r>
      <w:r w:rsidR="00BF44FE">
        <w:rPr>
          <w:rFonts w:asciiTheme="majorHAnsi" w:hAnsiTheme="majorHAnsi" w:cstheme="majorHAnsi"/>
          <w:sz w:val="24"/>
          <w:szCs w:val="24"/>
        </w:rPr>
        <w:t>i</w:t>
      </w:r>
      <w:r w:rsidR="00D53702" w:rsidRPr="00D53702">
        <w:rPr>
          <w:rFonts w:asciiTheme="majorHAnsi" w:hAnsiTheme="majorHAnsi" w:cstheme="majorHAnsi"/>
          <w:sz w:val="24"/>
          <w:szCs w:val="24"/>
        </w:rPr>
        <w:t xml:space="preserve">nterested </w:t>
      </w:r>
      <w:r w:rsidR="00BF44FE">
        <w:rPr>
          <w:rFonts w:asciiTheme="majorHAnsi" w:hAnsiTheme="majorHAnsi" w:cstheme="majorHAnsi"/>
          <w:sz w:val="24"/>
          <w:szCs w:val="24"/>
        </w:rPr>
        <w:t>m</w:t>
      </w:r>
      <w:r w:rsidR="00D53702" w:rsidRPr="00D53702">
        <w:rPr>
          <w:rFonts w:asciiTheme="majorHAnsi" w:hAnsiTheme="majorHAnsi" w:cstheme="majorHAnsi"/>
          <w:sz w:val="24"/>
          <w:szCs w:val="24"/>
        </w:rPr>
        <w:t xml:space="preserve">ultifamily </w:t>
      </w:r>
      <w:r w:rsidR="00BF44FE">
        <w:rPr>
          <w:rFonts w:asciiTheme="majorHAnsi" w:hAnsiTheme="majorHAnsi" w:cstheme="majorHAnsi"/>
          <w:sz w:val="24"/>
          <w:szCs w:val="24"/>
        </w:rPr>
        <w:t>o</w:t>
      </w:r>
      <w:r w:rsidR="00D53702" w:rsidRPr="00D53702">
        <w:rPr>
          <w:rFonts w:asciiTheme="majorHAnsi" w:hAnsiTheme="majorHAnsi" w:cstheme="majorHAnsi"/>
          <w:sz w:val="24"/>
          <w:szCs w:val="24"/>
        </w:rPr>
        <w:t>wners</w:t>
      </w:r>
      <w:r w:rsidR="00D53702">
        <w:rPr>
          <w:rFonts w:asciiTheme="majorHAnsi" w:hAnsiTheme="majorHAnsi" w:cstheme="majorHAnsi"/>
          <w:sz w:val="24"/>
          <w:szCs w:val="24"/>
        </w:rPr>
        <w:t xml:space="preserve">, </w:t>
      </w:r>
      <w:r w:rsidR="00D53702" w:rsidRPr="00D53702">
        <w:rPr>
          <w:rFonts w:asciiTheme="majorHAnsi" w:hAnsiTheme="majorHAnsi" w:cstheme="majorHAnsi"/>
          <w:sz w:val="24"/>
          <w:szCs w:val="24"/>
        </w:rPr>
        <w:t>meet</w:t>
      </w:r>
      <w:r w:rsidR="00F2164F">
        <w:rPr>
          <w:rFonts w:asciiTheme="majorHAnsi" w:hAnsiTheme="majorHAnsi" w:cstheme="majorHAnsi"/>
          <w:sz w:val="24"/>
          <w:szCs w:val="24"/>
        </w:rPr>
        <w:t>ing</w:t>
      </w:r>
      <w:r w:rsidR="00D53702" w:rsidRPr="00D53702">
        <w:rPr>
          <w:rFonts w:asciiTheme="majorHAnsi" w:hAnsiTheme="majorHAnsi" w:cstheme="majorHAnsi"/>
          <w:sz w:val="24"/>
          <w:szCs w:val="24"/>
        </w:rPr>
        <w:t xml:space="preserve"> the 66/50 rule requirement</w:t>
      </w:r>
      <w:r w:rsidR="00F2164F">
        <w:rPr>
          <w:rFonts w:asciiTheme="majorHAnsi" w:hAnsiTheme="majorHAnsi" w:cstheme="majorHAnsi"/>
          <w:sz w:val="24"/>
          <w:szCs w:val="24"/>
        </w:rPr>
        <w:t>, lack of an approved field guide, inability to meet SIR due to high wage rates and low utility costs, H&amp;S caps, and administrative burden of DOE funding compared to non-DOE funds.</w:t>
      </w:r>
    </w:p>
    <w:p w14:paraId="23F603BC" w14:textId="3C09B46B" w:rsidR="0017480F" w:rsidRDefault="00F2164F" w:rsidP="009972DD">
      <w:pPr>
        <w:spacing w:line="360" w:lineRule="auto"/>
        <w:rPr>
          <w:rFonts w:asciiTheme="majorHAnsi" w:hAnsiTheme="majorHAnsi" w:cstheme="majorHAnsi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6DB4684" wp14:editId="54590C75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554355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526" y="21450"/>
                <wp:lineTo x="21526" y="0"/>
                <wp:lineTo x="0" y="0"/>
              </wp:wrapPolygon>
            </wp:wrapThrough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791A37A5-9790-4439-B08A-930478C544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6BBBD243" w14:textId="7AAC5C4C" w:rsidR="00F2164F" w:rsidRPr="00FA2D39" w:rsidRDefault="00F2164F" w:rsidP="009972DD">
      <w:pPr>
        <w:spacing w:line="360" w:lineRule="auto"/>
        <w:rPr>
          <w:rFonts w:asciiTheme="majorHAnsi" w:hAnsiTheme="majorHAnsi" w:cstheme="majorHAnsi"/>
          <w:noProof/>
          <w:sz w:val="24"/>
          <w:szCs w:val="24"/>
        </w:rPr>
      </w:pPr>
    </w:p>
    <w:p w14:paraId="76835D0C" w14:textId="574D5AF9" w:rsidR="00B027B6" w:rsidRDefault="00B027B6" w:rsidP="00B027B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DA3068C" w14:textId="7B0BE0CC" w:rsidR="00B027B6" w:rsidRDefault="00B027B6" w:rsidP="00B027B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1BBE74D" w14:textId="5CED6682" w:rsidR="00F2164F" w:rsidRDefault="00F2164F" w:rsidP="00B027B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A82719B" w14:textId="194CFBC3" w:rsidR="00F2164F" w:rsidRDefault="00F2164F" w:rsidP="00B027B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39632103" w14:textId="14C00BF8" w:rsidR="00F2164F" w:rsidRDefault="00F2164F" w:rsidP="00B027B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930BE71" w14:textId="697019EE" w:rsidR="00B9779C" w:rsidRDefault="00B9779C" w:rsidP="00B027B6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7B6AD52" w14:textId="40B27A1C" w:rsidR="008042D5" w:rsidRDefault="0012098B" w:rsidP="00B02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A2D39">
        <w:rPr>
          <w:rFonts w:asciiTheme="majorHAnsi" w:hAnsiTheme="majorHAnsi" w:cstheme="majorHAnsi"/>
          <w:b/>
          <w:bCs/>
          <w:sz w:val="24"/>
          <w:szCs w:val="24"/>
        </w:rPr>
        <w:t>Priority List</w:t>
      </w:r>
      <w:r w:rsidR="003506C5" w:rsidRPr="00FA2D39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B9779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B9779C" w:rsidRPr="00B9779C">
        <w:rPr>
          <w:rFonts w:asciiTheme="majorHAnsi" w:hAnsiTheme="majorHAnsi" w:cstheme="majorHAnsi"/>
          <w:sz w:val="24"/>
          <w:szCs w:val="24"/>
        </w:rPr>
        <w:t>Grantees were asked to describe their response i</w:t>
      </w:r>
      <w:r w:rsidR="008042D5" w:rsidRPr="00B9779C">
        <w:rPr>
          <w:rFonts w:asciiTheme="majorHAnsi" w:hAnsiTheme="majorHAnsi" w:cstheme="majorHAnsi"/>
          <w:sz w:val="24"/>
          <w:szCs w:val="24"/>
        </w:rPr>
        <w:t xml:space="preserve">f DOE issued an optional SMF priority/measures list by climate zone that </w:t>
      </w:r>
      <w:r w:rsidR="00EF6FF7">
        <w:rPr>
          <w:rFonts w:asciiTheme="majorHAnsi" w:hAnsiTheme="majorHAnsi" w:cstheme="majorHAnsi"/>
          <w:sz w:val="24"/>
          <w:szCs w:val="24"/>
        </w:rPr>
        <w:t>g</w:t>
      </w:r>
      <w:r w:rsidR="008042D5" w:rsidRPr="00B9779C">
        <w:rPr>
          <w:rFonts w:asciiTheme="majorHAnsi" w:hAnsiTheme="majorHAnsi" w:cstheme="majorHAnsi"/>
          <w:sz w:val="24"/>
          <w:szCs w:val="24"/>
        </w:rPr>
        <w:t>rantees could adopt without being subject to the WPN 19-4 approval requirements</w:t>
      </w:r>
      <w:r w:rsidR="00B9779C" w:rsidRPr="00B9779C">
        <w:rPr>
          <w:rFonts w:asciiTheme="majorHAnsi" w:hAnsiTheme="majorHAnsi" w:cstheme="majorHAnsi"/>
          <w:sz w:val="24"/>
          <w:szCs w:val="24"/>
        </w:rPr>
        <w:t>.</w:t>
      </w:r>
      <w:r w:rsidR="00F9633D">
        <w:rPr>
          <w:rFonts w:asciiTheme="majorHAnsi" w:hAnsiTheme="majorHAnsi" w:cstheme="majorHAnsi"/>
          <w:sz w:val="24"/>
          <w:szCs w:val="24"/>
        </w:rPr>
        <w:t xml:space="preserve"> </w:t>
      </w:r>
      <w:r w:rsidR="00F6722D">
        <w:rPr>
          <w:rFonts w:asciiTheme="majorHAnsi" w:hAnsiTheme="majorHAnsi" w:cstheme="majorHAnsi"/>
          <w:sz w:val="24"/>
          <w:szCs w:val="24"/>
        </w:rPr>
        <w:t>Most</w:t>
      </w:r>
      <w:r w:rsidR="00F9633D">
        <w:rPr>
          <w:rFonts w:asciiTheme="majorHAnsi" w:hAnsiTheme="majorHAnsi" w:cstheme="majorHAnsi"/>
          <w:sz w:val="24"/>
          <w:szCs w:val="24"/>
        </w:rPr>
        <w:t xml:space="preserve"> respondents were unsure and would need to see the priority list before making the decision to use it</w:t>
      </w:r>
      <w:r w:rsidR="004021FB">
        <w:rPr>
          <w:rFonts w:asciiTheme="majorHAnsi" w:hAnsiTheme="majorHAnsi" w:cstheme="majorHAnsi"/>
          <w:sz w:val="24"/>
          <w:szCs w:val="24"/>
        </w:rPr>
        <w:t xml:space="preserve">. Over 30% said they would use the </w:t>
      </w:r>
      <w:r w:rsidR="00D60562">
        <w:rPr>
          <w:rFonts w:asciiTheme="majorHAnsi" w:hAnsiTheme="majorHAnsi" w:cstheme="majorHAnsi"/>
          <w:sz w:val="24"/>
          <w:szCs w:val="24"/>
        </w:rPr>
        <w:t xml:space="preserve">DOE </w:t>
      </w:r>
      <w:r w:rsidR="004021FB">
        <w:rPr>
          <w:rFonts w:asciiTheme="majorHAnsi" w:hAnsiTheme="majorHAnsi" w:cstheme="majorHAnsi"/>
          <w:sz w:val="24"/>
          <w:szCs w:val="24"/>
        </w:rPr>
        <w:t>priority list</w:t>
      </w:r>
      <w:r w:rsidR="00D60562">
        <w:rPr>
          <w:rFonts w:asciiTheme="majorHAnsi" w:hAnsiTheme="majorHAnsi" w:cstheme="majorHAnsi"/>
          <w:sz w:val="24"/>
          <w:szCs w:val="24"/>
        </w:rPr>
        <w:t xml:space="preserve"> and 6% would switch to the list</w:t>
      </w:r>
      <w:r w:rsidR="004021FB">
        <w:rPr>
          <w:rFonts w:asciiTheme="majorHAnsi" w:hAnsiTheme="majorHAnsi" w:cstheme="majorHAnsi"/>
          <w:sz w:val="24"/>
          <w:szCs w:val="24"/>
        </w:rPr>
        <w:t>.</w:t>
      </w:r>
    </w:p>
    <w:p w14:paraId="4D4CC314" w14:textId="24B16F7E" w:rsidR="00EB061F" w:rsidRDefault="004021FB" w:rsidP="00B02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C3F11F" wp14:editId="3BC258B0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5381625" cy="2171700"/>
            <wp:effectExtent l="0" t="0" r="9525" b="0"/>
            <wp:wrapThrough wrapText="bothSides">
              <wp:wrapPolygon edited="0">
                <wp:start x="0" y="0"/>
                <wp:lineTo x="0" y="21411"/>
                <wp:lineTo x="21562" y="21411"/>
                <wp:lineTo x="21562" y="0"/>
                <wp:lineTo x="0" y="0"/>
              </wp:wrapPolygon>
            </wp:wrapThrough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7C5381-837E-4140-8967-EBF3EEF11B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DAA4A" w14:textId="3A95ECFD" w:rsidR="00EB061F" w:rsidRDefault="00EB061F" w:rsidP="00B027B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AF0A5E2" w14:textId="77777777" w:rsidR="00EF6FF7" w:rsidRPr="00B9779C" w:rsidRDefault="00EF6FF7" w:rsidP="00B027B6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sectPr w:rsidR="00EF6FF7" w:rsidRPr="00B9779C" w:rsidSect="00B027B6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113A" w14:textId="77777777" w:rsidR="00E66BFE" w:rsidRDefault="00E66BFE" w:rsidP="005A7E1A">
      <w:pPr>
        <w:spacing w:after="0" w:line="240" w:lineRule="auto"/>
      </w:pPr>
      <w:r>
        <w:separator/>
      </w:r>
    </w:p>
  </w:endnote>
  <w:endnote w:type="continuationSeparator" w:id="0">
    <w:p w14:paraId="540141D9" w14:textId="77777777" w:rsidR="00E66BFE" w:rsidRDefault="00E66BFE" w:rsidP="005A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5454" w14:textId="77777777" w:rsidR="00E66BFE" w:rsidRDefault="00E66BFE" w:rsidP="005A7E1A">
      <w:pPr>
        <w:spacing w:after="0" w:line="240" w:lineRule="auto"/>
      </w:pPr>
      <w:r>
        <w:separator/>
      </w:r>
    </w:p>
  </w:footnote>
  <w:footnote w:type="continuationSeparator" w:id="0">
    <w:p w14:paraId="569FF256" w14:textId="77777777" w:rsidR="00E66BFE" w:rsidRDefault="00E66BFE" w:rsidP="005A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F793" w14:textId="2318AC53" w:rsidR="00EC24D7" w:rsidRDefault="00EC24D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97BF7A" wp14:editId="3C59C254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1878124" cy="419100"/>
          <wp:effectExtent l="0" t="0" r="0" b="0"/>
          <wp:wrapSquare wrapText="bothSides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88" b="19075"/>
                  <a:stretch/>
                </pic:blipFill>
                <pic:spPr bwMode="auto">
                  <a:xfrm>
                    <a:off x="0" y="0"/>
                    <a:ext cx="1878124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15B5" w14:textId="0E0BED2E" w:rsidR="00EC24D7" w:rsidRDefault="00EC2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96C1F8" wp14:editId="6667AADE">
          <wp:simplePos x="0" y="0"/>
          <wp:positionH relativeFrom="column">
            <wp:posOffset>0</wp:posOffset>
          </wp:positionH>
          <wp:positionV relativeFrom="paragraph">
            <wp:posOffset>-330104</wp:posOffset>
          </wp:positionV>
          <wp:extent cx="1878124" cy="419100"/>
          <wp:effectExtent l="0" t="0" r="0" b="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88" b="19075"/>
                  <a:stretch/>
                </pic:blipFill>
                <pic:spPr bwMode="auto">
                  <a:xfrm>
                    <a:off x="0" y="0"/>
                    <a:ext cx="1878124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8B6"/>
    <w:multiLevelType w:val="hybridMultilevel"/>
    <w:tmpl w:val="6AEA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A3F81"/>
    <w:multiLevelType w:val="hybridMultilevel"/>
    <w:tmpl w:val="0114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86A3E"/>
    <w:multiLevelType w:val="hybridMultilevel"/>
    <w:tmpl w:val="4EF0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76"/>
    <w:rsid w:val="00026490"/>
    <w:rsid w:val="000578F9"/>
    <w:rsid w:val="000601A4"/>
    <w:rsid w:val="00064C8F"/>
    <w:rsid w:val="000979BA"/>
    <w:rsid w:val="001014DF"/>
    <w:rsid w:val="001161A7"/>
    <w:rsid w:val="00117C35"/>
    <w:rsid w:val="0012098B"/>
    <w:rsid w:val="00132CB5"/>
    <w:rsid w:val="00171F36"/>
    <w:rsid w:val="001720EA"/>
    <w:rsid w:val="0017480F"/>
    <w:rsid w:val="00186214"/>
    <w:rsid w:val="001A552E"/>
    <w:rsid w:val="001B1EFD"/>
    <w:rsid w:val="001C32F2"/>
    <w:rsid w:val="001F68C3"/>
    <w:rsid w:val="002246B0"/>
    <w:rsid w:val="00241FB6"/>
    <w:rsid w:val="002927D6"/>
    <w:rsid w:val="002E2DA3"/>
    <w:rsid w:val="003506C5"/>
    <w:rsid w:val="003705DE"/>
    <w:rsid w:val="003A4083"/>
    <w:rsid w:val="003F187C"/>
    <w:rsid w:val="004021FB"/>
    <w:rsid w:val="00484505"/>
    <w:rsid w:val="004C421F"/>
    <w:rsid w:val="00571E5C"/>
    <w:rsid w:val="00573B56"/>
    <w:rsid w:val="0059260C"/>
    <w:rsid w:val="005A7E1A"/>
    <w:rsid w:val="005D60F4"/>
    <w:rsid w:val="0064559D"/>
    <w:rsid w:val="006613D6"/>
    <w:rsid w:val="00665D90"/>
    <w:rsid w:val="006B36B1"/>
    <w:rsid w:val="006B5FFA"/>
    <w:rsid w:val="006D68F2"/>
    <w:rsid w:val="006F116B"/>
    <w:rsid w:val="00770C4A"/>
    <w:rsid w:val="007919FF"/>
    <w:rsid w:val="007A1F83"/>
    <w:rsid w:val="008042D5"/>
    <w:rsid w:val="00835CEF"/>
    <w:rsid w:val="00894891"/>
    <w:rsid w:val="008C3C10"/>
    <w:rsid w:val="009139CE"/>
    <w:rsid w:val="00932246"/>
    <w:rsid w:val="009972DD"/>
    <w:rsid w:val="009F4E19"/>
    <w:rsid w:val="00A46E9F"/>
    <w:rsid w:val="00AB5856"/>
    <w:rsid w:val="00AF55CE"/>
    <w:rsid w:val="00B027B6"/>
    <w:rsid w:val="00B140CF"/>
    <w:rsid w:val="00B61CEF"/>
    <w:rsid w:val="00B9779C"/>
    <w:rsid w:val="00BD5F52"/>
    <w:rsid w:val="00BF44FE"/>
    <w:rsid w:val="00C26049"/>
    <w:rsid w:val="00C7379A"/>
    <w:rsid w:val="00CA4F76"/>
    <w:rsid w:val="00D20A34"/>
    <w:rsid w:val="00D53702"/>
    <w:rsid w:val="00D60562"/>
    <w:rsid w:val="00DA113F"/>
    <w:rsid w:val="00DB1A2B"/>
    <w:rsid w:val="00DD4995"/>
    <w:rsid w:val="00DF415F"/>
    <w:rsid w:val="00E02206"/>
    <w:rsid w:val="00E2653E"/>
    <w:rsid w:val="00E270DF"/>
    <w:rsid w:val="00E544BD"/>
    <w:rsid w:val="00E66715"/>
    <w:rsid w:val="00E66BFE"/>
    <w:rsid w:val="00EB061F"/>
    <w:rsid w:val="00EC24D7"/>
    <w:rsid w:val="00EC35FD"/>
    <w:rsid w:val="00EE6F1F"/>
    <w:rsid w:val="00EF6FF7"/>
    <w:rsid w:val="00F173CC"/>
    <w:rsid w:val="00F2164F"/>
    <w:rsid w:val="00F314DA"/>
    <w:rsid w:val="00F6722D"/>
    <w:rsid w:val="00F74155"/>
    <w:rsid w:val="00F9633D"/>
    <w:rsid w:val="00FA2D39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2382B9"/>
  <w15:chartTrackingRefBased/>
  <w15:docId w15:val="{C6A3AF50-0577-45E6-BEE5-6581DE1F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59D"/>
    <w:pPr>
      <w:ind w:left="720"/>
      <w:contextualSpacing/>
    </w:pPr>
  </w:style>
  <w:style w:type="table" w:styleId="TableGrid">
    <w:name w:val="Table Grid"/>
    <w:basedOn w:val="TableNormal"/>
    <w:uiPriority w:val="39"/>
    <w:rsid w:val="0059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E1A"/>
  </w:style>
  <w:style w:type="paragraph" w:styleId="Footer">
    <w:name w:val="footer"/>
    <w:basedOn w:val="Normal"/>
    <w:link w:val="FooterChar"/>
    <w:uiPriority w:val="99"/>
    <w:unhideWhenUsed/>
    <w:rsid w:val="005A7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E1A"/>
  </w:style>
  <w:style w:type="table" w:styleId="PlainTable3">
    <w:name w:val="Plain Table 3"/>
    <w:basedOn w:val="TableNormal"/>
    <w:uiPriority w:val="43"/>
    <w:rsid w:val="005A7E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7E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DD49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csp.local\ServerShares\SHARED\NASCSP-ARCHIVE\WAP\Surveys\SMF%20weatherization\Streamlining%20Small%20Multi-Family%20Weatheriza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csp.local\ServerShares\SHARED\NASCSP-ARCHIVE\WAP\Surveys\SMF%20weatherization\Streamlining%20Small%20Multi-Family%20Weatherizati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csp.local\ServerShares\SHARED\NASCSP-ARCHIVE\WAP\Surveys\SMF%20weatherization\Streamlining%20Small%20Multi-Family%20Weatherizatio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ascsp.local\ServerShares\SHARED\NASCSP-ARCHIVE\WAP\Surveys\SMF%20weatherization\Streamlining%20Small%20Multi-Family%20Weatherizatio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w Cen MT" panose="020B0602020104020603" pitchFamily="34" charset="0"/>
              </a:rPr>
              <a:t>Funding Sources for</a:t>
            </a:r>
            <a:r>
              <a:rPr lang="en-US" baseline="0">
                <a:latin typeface="Tw Cen MT" panose="020B0602020104020603" pitchFamily="34" charset="0"/>
              </a:rPr>
              <a:t> SMF Weatherization</a:t>
            </a:r>
            <a:endParaRPr lang="en-US">
              <a:latin typeface="Tw Cen MT" panose="020B0602020104020603" pitchFamily="34" charset="0"/>
            </a:endParaRPr>
          </a:p>
        </c:rich>
      </c:tx>
      <c:layout>
        <c:manualLayout>
          <c:xMode val="edge"/>
          <c:yMode val="edge"/>
          <c:x val="0.2299841233839873"/>
          <c:y val="3.75146541617819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3953670284296797E-2"/>
          <c:y val="0.1804707407525476"/>
          <c:w val="0.87210448206335289"/>
          <c:h val="0.7834248249333204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3385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AD-4146-B92D-6028436496AC}"/>
              </c:ext>
            </c:extLst>
          </c:dPt>
          <c:dPt>
            <c:idx val="1"/>
            <c:invertIfNegative val="0"/>
            <c:bubble3D val="0"/>
            <c:spPr>
              <a:solidFill>
                <a:srgbClr val="63365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AD-4146-B92D-6028436496AC}"/>
              </c:ext>
            </c:extLst>
          </c:dPt>
          <c:dPt>
            <c:idx val="2"/>
            <c:invertIfNegative val="0"/>
            <c:bubble3D val="0"/>
            <c:spPr>
              <a:solidFill>
                <a:srgbClr val="3F87C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AD-4146-B92D-6028436496A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Sheet1!$A$21:$A$24</c:f>
              <c:strCache>
                <c:ptCount val="4"/>
                <c:pt idx="0">
                  <c:v>DOE</c:v>
                </c:pt>
                <c:pt idx="1">
                  <c:v>LIHEAP</c:v>
                </c:pt>
                <c:pt idx="2">
                  <c:v>Utility</c:v>
                </c:pt>
                <c:pt idx="3">
                  <c:v>State</c:v>
                </c:pt>
              </c:strCache>
            </c:strRef>
          </c:cat>
          <c:val>
            <c:numRef>
              <c:f>Sheet1!$B$21:$B$24</c:f>
              <c:numCache>
                <c:formatCode>0%</c:formatCode>
                <c:ptCount val="4"/>
                <c:pt idx="0">
                  <c:v>0.8928571428571429</c:v>
                </c:pt>
                <c:pt idx="1">
                  <c:v>0.7857142857142857</c:v>
                </c:pt>
                <c:pt idx="2">
                  <c:v>0.42857142857142855</c:v>
                </c:pt>
                <c:pt idx="3">
                  <c:v>0.17857142857142858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AD-4146-B92D-6028436496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94118592"/>
        <c:axId val="1494114848"/>
      </c:barChart>
      <c:catAx>
        <c:axId val="14941185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w Cen MT" panose="020B0602020104020603" pitchFamily="34" charset="0"/>
                <a:ea typeface="+mn-ea"/>
                <a:cs typeface="+mn-cs"/>
              </a:defRPr>
            </a:pPr>
            <a:endParaRPr lang="en-US"/>
          </a:p>
        </c:txPr>
        <c:crossAx val="1494114848"/>
        <c:crosses val="autoZero"/>
        <c:auto val="1"/>
        <c:lblAlgn val="ctr"/>
        <c:lblOffset val="100"/>
        <c:noMultiLvlLbl val="0"/>
      </c:catAx>
      <c:valAx>
        <c:axId val="1494114848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9411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w Cen MT" panose="020B0602020104020603" pitchFamily="34" charset="0"/>
              </a:rPr>
              <a:t>SMF Audit</a:t>
            </a:r>
          </a:p>
        </c:rich>
      </c:tx>
      <c:layout>
        <c:manualLayout>
          <c:xMode val="edge"/>
          <c:yMode val="edge"/>
          <c:x val="0.42812785388127861"/>
          <c:y val="1.32669983416252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16745766368245E-2"/>
          <c:y val="0.14092895104529848"/>
          <c:w val="0.90321126811203389"/>
          <c:h val="0.651861427769290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3385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25E-4027-BFA7-EAC9E8C8D847}"/>
              </c:ext>
            </c:extLst>
          </c:dPt>
          <c:dPt>
            <c:idx val="1"/>
            <c:invertIfNegative val="0"/>
            <c:bubble3D val="0"/>
            <c:spPr>
              <a:solidFill>
                <a:srgbClr val="3F87C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25E-4027-BFA7-EAC9E8C8D847}"/>
              </c:ext>
            </c:extLst>
          </c:dPt>
          <c:dPt>
            <c:idx val="2"/>
            <c:invertIfNegative val="0"/>
            <c:bubble3D val="0"/>
            <c:spPr>
              <a:solidFill>
                <a:srgbClr val="3C288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25E-4027-BFA7-EAC9E8C8D8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Electronic Energy Audit</c:v>
                </c:pt>
                <c:pt idx="1">
                  <c:v>Deemed Savings or Other Measures List</c:v>
                </c:pt>
                <c:pt idx="2">
                  <c:v>Other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0.59375</c:v>
                </c:pt>
                <c:pt idx="1">
                  <c:v>6.25E-2</c:v>
                </c:pt>
                <c:pt idx="2">
                  <c:v>0.34375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5E-4027-BFA7-EAC9E8C8D8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07739456"/>
        <c:axId val="1507737792"/>
      </c:barChart>
      <c:catAx>
        <c:axId val="150773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w Cen MT" panose="020B0602020104020603" pitchFamily="34" charset="0"/>
                <a:ea typeface="+mn-ea"/>
                <a:cs typeface="+mn-cs"/>
              </a:defRPr>
            </a:pPr>
            <a:endParaRPr lang="en-US"/>
          </a:p>
        </c:txPr>
        <c:crossAx val="1507737792"/>
        <c:crosses val="autoZero"/>
        <c:auto val="1"/>
        <c:lblAlgn val="ctr"/>
        <c:lblOffset val="100"/>
        <c:noMultiLvlLbl val="0"/>
      </c:catAx>
      <c:valAx>
        <c:axId val="1507737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w Cen MT" panose="020B0602020104020603" pitchFamily="34" charset="0"/>
                <a:ea typeface="+mn-ea"/>
                <a:cs typeface="+mn-cs"/>
              </a:defRPr>
            </a:pPr>
            <a:endParaRPr lang="en-US"/>
          </a:p>
        </c:txPr>
        <c:crossAx val="1507739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w Cen MT" panose="020B0602020104020603" pitchFamily="34" charset="0"/>
                <a:ea typeface="+mn-ea"/>
                <a:cs typeface="+mn-cs"/>
              </a:defRPr>
            </a:pPr>
            <a:r>
              <a:rPr lang="en-US">
                <a:latin typeface="Tw Cen MT" panose="020B0602020104020603" pitchFamily="34" charset="0"/>
              </a:rPr>
              <a:t>Barriers to Weatherizing</a:t>
            </a:r>
            <a:r>
              <a:rPr lang="en-US" baseline="0">
                <a:latin typeface="Tw Cen MT" panose="020B0602020104020603" pitchFamily="34" charset="0"/>
              </a:rPr>
              <a:t> SMF</a:t>
            </a:r>
            <a:endParaRPr lang="en-US">
              <a:latin typeface="Tw Cen MT" panose="020B0602020104020603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w Cen MT" panose="020B0602020104020603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3F87C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Sheet1!$A$14:$A$19</c:f>
              <c:strCache>
                <c:ptCount val="6"/>
                <c:pt idx="0">
                  <c:v>The audit or building approval process</c:v>
                </c:pt>
                <c:pt idx="1">
                  <c:v>Meeting ASHRAE ventilation requirements</c:v>
                </c:pt>
                <c:pt idx="2">
                  <c:v>Other</c:v>
                </c:pt>
                <c:pt idx="3">
                  <c:v>The client eligibility process</c:v>
                </c:pt>
                <c:pt idx="4">
                  <c:v>Subgrantee personnel and resource constraints</c:v>
                </c:pt>
                <c:pt idx="5">
                  <c:v>Grantee personnel and resource constraints</c:v>
                </c:pt>
              </c:strCache>
            </c:strRef>
          </c:cat>
          <c:val>
            <c:numRef>
              <c:f>Sheet1!$B$14:$B$19</c:f>
              <c:numCache>
                <c:formatCode>0%</c:formatCode>
                <c:ptCount val="6"/>
                <c:pt idx="0">
                  <c:v>0.63</c:v>
                </c:pt>
                <c:pt idx="1">
                  <c:v>0.43</c:v>
                </c:pt>
                <c:pt idx="2">
                  <c:v>0.4</c:v>
                </c:pt>
                <c:pt idx="3">
                  <c:v>0.34</c:v>
                </c:pt>
                <c:pt idx="4">
                  <c:v>0.34</c:v>
                </c:pt>
                <c:pt idx="5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FB-46EE-B6BF-69BAD0A3FDA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18706832"/>
        <c:axId val="1418707248"/>
      </c:barChart>
      <c:catAx>
        <c:axId val="14187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w Cen MT" panose="020B0602020104020603" pitchFamily="34" charset="0"/>
                <a:ea typeface="+mn-ea"/>
                <a:cs typeface="+mn-cs"/>
              </a:defRPr>
            </a:pPr>
            <a:endParaRPr lang="en-US"/>
          </a:p>
        </c:txPr>
        <c:crossAx val="1418707248"/>
        <c:crosses val="autoZero"/>
        <c:auto val="1"/>
        <c:lblAlgn val="ctr"/>
        <c:lblOffset val="100"/>
        <c:noMultiLvlLbl val="0"/>
      </c:catAx>
      <c:valAx>
        <c:axId val="141870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w Cen MT" panose="020B0602020104020603" pitchFamily="34" charset="0"/>
                <a:ea typeface="+mn-ea"/>
                <a:cs typeface="+mn-cs"/>
              </a:defRPr>
            </a:pPr>
            <a:endParaRPr lang="en-US"/>
          </a:p>
        </c:txPr>
        <c:crossAx val="141870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solidFill>
              <a:srgbClr val="3F87CF"/>
            </a:solidFill>
          </c:spPr>
          <c:dPt>
            <c:idx val="0"/>
            <c:bubble3D val="0"/>
            <c:spPr>
              <a:solidFill>
                <a:srgbClr val="63365F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A4-4443-A837-BC78635C16AA}"/>
              </c:ext>
            </c:extLst>
          </c:dPt>
          <c:dPt>
            <c:idx val="1"/>
            <c:bubble3D val="0"/>
            <c:spPr>
              <a:solidFill>
                <a:srgbClr val="33853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A4-4443-A837-BC78635C16AA}"/>
              </c:ext>
            </c:extLst>
          </c:dPt>
          <c:dPt>
            <c:idx val="2"/>
            <c:bubble3D val="0"/>
            <c:spPr>
              <a:solidFill>
                <a:srgbClr val="3F87CF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A4-4443-A837-BC78635C16AA}"/>
              </c:ext>
            </c:extLst>
          </c:dPt>
          <c:dLbls>
            <c:dLbl>
              <c:idx val="0"/>
              <c:layout>
                <c:manualLayout>
                  <c:x val="1.0405827263267277E-2"/>
                  <c:y val="8.25688073394495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spc="0" baseline="0">
                      <a:solidFill>
                        <a:sysClr val="windowText" lastClr="000000"/>
                      </a:solidFill>
                      <a:latin typeface="Tw Cen MT" panose="020B0602020104020603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A4-4443-A837-BC78635C16AA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spc="0" baseline="0">
                      <a:solidFill>
                        <a:sysClr val="windowText" lastClr="000000"/>
                      </a:solidFill>
                      <a:latin typeface="Tw Cen MT" panose="020B0602020104020603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24A4-4443-A837-BC78635C16AA}"/>
                </c:ext>
              </c:extLst>
            </c:dLbl>
            <c:dLbl>
              <c:idx val="2"/>
              <c:layout>
                <c:manualLayout>
                  <c:x val="-7.897783420482582E-2"/>
                  <c:y val="-0.175366228613579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spc="0" baseline="0">
                      <a:solidFill>
                        <a:sysClr val="windowText" lastClr="000000"/>
                      </a:solidFill>
                      <a:latin typeface="Tw Cen MT" panose="020B0602020104020603" pitchFamily="34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A4-4443-A837-BC78635C16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spc="0" baseline="0">
                    <a:solidFill>
                      <a:sysClr val="windowText" lastClr="000000"/>
                    </a:solidFill>
                    <a:latin typeface="Tw Cen MT" panose="020B0602020104020603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Sheet1!$A$27:$A$29</c:f>
              <c:strCache>
                <c:ptCount val="3"/>
                <c:pt idx="0">
                  <c:v>Use the DOE SMF priority list to Weatherize units with DOE funds</c:v>
                </c:pt>
                <c:pt idx="1">
                  <c:v>Switch from our DOE approved SMF audit tool to use the DOE SMF Priority List</c:v>
                </c:pt>
                <c:pt idx="2">
                  <c:v>Unsure, need to see the priority list before making the decision</c:v>
                </c:pt>
              </c:strCache>
            </c:strRef>
          </c:cat>
          <c:val>
            <c:numRef>
              <c:f>Sheet1!$B$27:$B$29</c:f>
              <c:numCache>
                <c:formatCode>0%</c:formatCode>
                <c:ptCount val="3"/>
                <c:pt idx="0">
                  <c:v>0.31</c:v>
                </c:pt>
                <c:pt idx="1">
                  <c:v>0.06</c:v>
                </c:pt>
                <c:pt idx="2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4A4-4443-A837-BC78635C16A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WAP Template">
      <a:dk1>
        <a:srgbClr val="000000"/>
      </a:dk1>
      <a:lt1>
        <a:srgbClr val="FFFFFF"/>
      </a:lt1>
      <a:dk2>
        <a:srgbClr val="7CC576"/>
      </a:dk2>
      <a:lt2>
        <a:srgbClr val="FFFFFF"/>
      </a:lt2>
      <a:accent1>
        <a:srgbClr val="7CC576"/>
      </a:accent1>
      <a:accent2>
        <a:srgbClr val="63365F"/>
      </a:accent2>
      <a:accent3>
        <a:srgbClr val="338533"/>
      </a:accent3>
      <a:accent4>
        <a:srgbClr val="555555"/>
      </a:accent4>
      <a:accent5>
        <a:srgbClr val="3F87CF"/>
      </a:accent5>
      <a:accent6>
        <a:srgbClr val="B374AD"/>
      </a:accent6>
      <a:hlink>
        <a:srgbClr val="2370CD"/>
      </a:hlink>
      <a:folHlink>
        <a:srgbClr val="87758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Klusmeier</dc:creator>
  <cp:keywords/>
  <dc:description/>
  <cp:lastModifiedBy>Andrea Schroer</cp:lastModifiedBy>
  <cp:revision>3</cp:revision>
  <dcterms:created xsi:type="dcterms:W3CDTF">2021-08-17T14:56:00Z</dcterms:created>
  <dcterms:modified xsi:type="dcterms:W3CDTF">2021-08-17T17:39:00Z</dcterms:modified>
</cp:coreProperties>
</file>