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C4" w:rsidRPr="00B04193" w:rsidRDefault="008E41C4" w:rsidP="008E4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193">
        <w:rPr>
          <w:rFonts w:ascii="Times New Roman" w:hAnsi="Times New Roman" w:cs="Times New Roman"/>
          <w:b/>
          <w:sz w:val="28"/>
          <w:szCs w:val="28"/>
        </w:rPr>
        <w:t>ASHRAE 62.2 – 2010 Residential Ventilation Standard</w:t>
      </w:r>
    </w:p>
    <w:p w:rsidR="008E41C4" w:rsidRPr="00B04193" w:rsidRDefault="008E41C4" w:rsidP="008E4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193">
        <w:rPr>
          <w:rFonts w:ascii="Times New Roman" w:hAnsi="Times New Roman" w:cs="Times New Roman"/>
          <w:b/>
          <w:sz w:val="28"/>
          <w:szCs w:val="28"/>
        </w:rPr>
        <w:t>Auditor/Inspector Check List</w:t>
      </w:r>
    </w:p>
    <w:p w:rsidR="008E41C4" w:rsidRPr="00955A67" w:rsidRDefault="008E41C4" w:rsidP="008E41C4">
      <w:pPr>
        <w:rPr>
          <w:rFonts w:ascii="Times New Roman" w:hAnsi="Times New Roman" w:cs="Times New Roman"/>
          <w:i/>
          <w:sz w:val="24"/>
          <w:szCs w:val="24"/>
        </w:rPr>
      </w:pPr>
      <w:r w:rsidRPr="00955A67">
        <w:rPr>
          <w:rFonts w:ascii="Times New Roman" w:hAnsi="Times New Roman" w:cs="Times New Roman"/>
          <w:i/>
          <w:sz w:val="24"/>
          <w:szCs w:val="24"/>
        </w:rPr>
        <w:t>All boxes must be checked or marked N/A.</w:t>
      </w:r>
    </w:p>
    <w:p w:rsidR="008E41C4" w:rsidRPr="00955A67" w:rsidRDefault="008E41C4" w:rsidP="008E41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A67">
        <w:rPr>
          <w:rFonts w:ascii="Times New Roman" w:hAnsi="Times New Roman" w:cs="Times New Roman"/>
          <w:sz w:val="24"/>
          <w:szCs w:val="24"/>
        </w:rPr>
        <w:t>The dwelling unit is a single family or multifamily residential building of three stories or less above grade, including manufactured and modular housing.</w:t>
      </w:r>
    </w:p>
    <w:p w:rsidR="008E41C4" w:rsidRPr="00955A67" w:rsidRDefault="008E41C4" w:rsidP="008E41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A67">
        <w:rPr>
          <w:rFonts w:ascii="Times New Roman" w:hAnsi="Times New Roman" w:cs="Times New Roman"/>
          <w:sz w:val="24"/>
          <w:szCs w:val="24"/>
        </w:rPr>
        <w:t>The planned ventilation strategy includes (check applicable circle)</w:t>
      </w:r>
      <w:r w:rsidR="00955A67">
        <w:rPr>
          <w:rFonts w:ascii="Times New Roman" w:hAnsi="Times New Roman" w:cs="Times New Roman"/>
          <w:sz w:val="24"/>
          <w:szCs w:val="24"/>
        </w:rPr>
        <w:t>:</w:t>
      </w:r>
    </w:p>
    <w:p w:rsidR="008E41C4" w:rsidRPr="00955A67" w:rsidRDefault="00B04193" w:rsidP="008E41C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A67">
        <w:rPr>
          <w:rFonts w:ascii="Times New Roman" w:hAnsi="Times New Roman" w:cs="Times New Roman"/>
          <w:sz w:val="24"/>
          <w:szCs w:val="24"/>
        </w:rPr>
        <w:t>A</w:t>
      </w:r>
      <w:r w:rsidR="008E41C4" w:rsidRPr="00955A67">
        <w:rPr>
          <w:rFonts w:ascii="Times New Roman" w:hAnsi="Times New Roman" w:cs="Times New Roman"/>
          <w:sz w:val="24"/>
          <w:szCs w:val="24"/>
        </w:rPr>
        <w:t xml:space="preserve"> mechanical exhaust system</w:t>
      </w:r>
      <w:r w:rsidRPr="00955A67">
        <w:rPr>
          <w:rFonts w:ascii="Times New Roman" w:hAnsi="Times New Roman" w:cs="Times New Roman"/>
          <w:sz w:val="24"/>
          <w:szCs w:val="24"/>
        </w:rPr>
        <w:t>.</w:t>
      </w:r>
    </w:p>
    <w:p w:rsidR="008E41C4" w:rsidRPr="00955A67" w:rsidRDefault="00B04193" w:rsidP="008E41C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A67">
        <w:rPr>
          <w:rFonts w:ascii="Times New Roman" w:hAnsi="Times New Roman" w:cs="Times New Roman"/>
          <w:sz w:val="24"/>
          <w:szCs w:val="24"/>
        </w:rPr>
        <w:t>A</w:t>
      </w:r>
      <w:r w:rsidR="008E41C4" w:rsidRPr="00955A67">
        <w:rPr>
          <w:rFonts w:ascii="Times New Roman" w:hAnsi="Times New Roman" w:cs="Times New Roman"/>
          <w:sz w:val="24"/>
          <w:szCs w:val="24"/>
        </w:rPr>
        <w:t xml:space="preserve"> mechanical supply system</w:t>
      </w:r>
      <w:r w:rsidRPr="00955A67">
        <w:rPr>
          <w:rFonts w:ascii="Times New Roman" w:hAnsi="Times New Roman" w:cs="Times New Roman"/>
          <w:sz w:val="24"/>
          <w:szCs w:val="24"/>
        </w:rPr>
        <w:t>.</w:t>
      </w:r>
    </w:p>
    <w:p w:rsidR="008E41C4" w:rsidRPr="00955A67" w:rsidRDefault="00B04193" w:rsidP="008E41C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pacing w:val="-2"/>
          <w:sz w:val="24"/>
          <w:szCs w:val="24"/>
        </w:rPr>
      </w:pPr>
      <w:r w:rsidRPr="00955A67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8E41C4" w:rsidRPr="00955A67">
        <w:rPr>
          <w:rFonts w:ascii="Times New Roman" w:hAnsi="Times New Roman" w:cs="Times New Roman"/>
          <w:spacing w:val="-2"/>
          <w:sz w:val="24"/>
          <w:szCs w:val="24"/>
        </w:rPr>
        <w:t xml:space="preserve"> combination; a balanced system with supply and exhaust air (e.g. HRV or ERV)</w:t>
      </w:r>
      <w:r w:rsidRPr="00955A6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8E41C4" w:rsidRPr="00955A67" w:rsidRDefault="008E41C4" w:rsidP="008E41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A67">
        <w:rPr>
          <w:rFonts w:ascii="Times New Roman" w:hAnsi="Times New Roman" w:cs="Times New Roman"/>
          <w:sz w:val="24"/>
          <w:szCs w:val="24"/>
        </w:rPr>
        <w:t xml:space="preserve">All bathrooms have fans rated at 50 CFM on-demand </w:t>
      </w:r>
      <w:r w:rsidR="00184CD9" w:rsidRPr="00184CD9">
        <w:rPr>
          <w:rFonts w:ascii="Times New Roman" w:hAnsi="Times New Roman" w:cs="Times New Roman"/>
          <w:i/>
          <w:sz w:val="24"/>
          <w:szCs w:val="24"/>
        </w:rPr>
        <w:t>or</w:t>
      </w:r>
      <w:r w:rsidR="009E2E8D" w:rsidRPr="00955A67">
        <w:rPr>
          <w:rFonts w:ascii="Times New Roman" w:hAnsi="Times New Roman" w:cs="Times New Roman"/>
          <w:sz w:val="24"/>
          <w:szCs w:val="24"/>
        </w:rPr>
        <w:t xml:space="preserve"> 20 CFM continuous.</w:t>
      </w:r>
      <w:r w:rsidR="009E2E8D" w:rsidRPr="00955A67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:rsidR="008E41C4" w:rsidRPr="00955A67" w:rsidRDefault="008E41C4" w:rsidP="008E41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A67">
        <w:rPr>
          <w:rFonts w:ascii="Times New Roman" w:hAnsi="Times New Roman" w:cs="Times New Roman"/>
          <w:sz w:val="24"/>
          <w:szCs w:val="24"/>
        </w:rPr>
        <w:t xml:space="preserve">The kitchen has a fan rated at 100 CFM on-demand </w:t>
      </w:r>
      <w:r w:rsidR="00184CD9" w:rsidRPr="00184CD9">
        <w:rPr>
          <w:rFonts w:ascii="Times New Roman" w:hAnsi="Times New Roman" w:cs="Times New Roman"/>
          <w:i/>
          <w:sz w:val="24"/>
          <w:szCs w:val="24"/>
        </w:rPr>
        <w:t>or</w:t>
      </w:r>
      <w:r w:rsidRPr="00955A67">
        <w:rPr>
          <w:rFonts w:ascii="Times New Roman" w:hAnsi="Times New Roman" w:cs="Times New Roman"/>
          <w:sz w:val="24"/>
          <w:szCs w:val="24"/>
        </w:rPr>
        <w:t xml:space="preserve"> 5</w:t>
      </w:r>
      <w:r w:rsidR="00955A67">
        <w:rPr>
          <w:rFonts w:ascii="Times New Roman" w:hAnsi="Times New Roman" w:cs="Times New Roman"/>
          <w:sz w:val="24"/>
          <w:szCs w:val="24"/>
        </w:rPr>
        <w:t xml:space="preserve"> </w:t>
      </w:r>
      <w:r w:rsidRPr="00955A67">
        <w:rPr>
          <w:rFonts w:ascii="Times New Roman" w:hAnsi="Times New Roman" w:cs="Times New Roman"/>
          <w:sz w:val="24"/>
          <w:szCs w:val="24"/>
        </w:rPr>
        <w:t>ACH based on kitchen volume. If the kitchen fan delivers less than 5</w:t>
      </w:r>
      <w:r w:rsidR="00955A67">
        <w:rPr>
          <w:rFonts w:ascii="Times New Roman" w:hAnsi="Times New Roman" w:cs="Times New Roman"/>
          <w:sz w:val="24"/>
          <w:szCs w:val="24"/>
        </w:rPr>
        <w:t xml:space="preserve"> </w:t>
      </w:r>
      <w:r w:rsidR="009E2E8D" w:rsidRPr="00955A67">
        <w:rPr>
          <w:rFonts w:ascii="Times New Roman" w:hAnsi="Times New Roman" w:cs="Times New Roman"/>
          <w:sz w:val="24"/>
          <w:szCs w:val="24"/>
        </w:rPr>
        <w:t>ACH, it is a vented range hood.</w:t>
      </w:r>
      <w:r w:rsidR="009E2E8D" w:rsidRPr="00955A67">
        <w:rPr>
          <w:rStyle w:val="FootnoteReference"/>
          <w:rFonts w:ascii="Times New Roman" w:hAnsi="Times New Roman" w:cs="Times New Roman"/>
          <w:sz w:val="24"/>
          <w:szCs w:val="24"/>
        </w:rPr>
        <w:footnoteReference w:customMarkFollows="1" w:id="2"/>
        <w:t>1</w:t>
      </w:r>
    </w:p>
    <w:p w:rsidR="008E41C4" w:rsidRPr="00955A67" w:rsidRDefault="008E41C4" w:rsidP="008E41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A67">
        <w:rPr>
          <w:rFonts w:ascii="Times New Roman" w:hAnsi="Times New Roman" w:cs="Times New Roman"/>
          <w:sz w:val="24"/>
          <w:szCs w:val="24"/>
        </w:rPr>
        <w:t xml:space="preserve">All whole building fans are rated 1 </w:t>
      </w:r>
      <w:proofErr w:type="spellStart"/>
      <w:r w:rsidRPr="00955A67">
        <w:rPr>
          <w:rFonts w:ascii="Times New Roman" w:hAnsi="Times New Roman" w:cs="Times New Roman"/>
          <w:sz w:val="24"/>
          <w:szCs w:val="24"/>
        </w:rPr>
        <w:t>sone</w:t>
      </w:r>
      <w:proofErr w:type="spellEnd"/>
      <w:r w:rsidRPr="00955A67">
        <w:rPr>
          <w:rFonts w:ascii="Times New Roman" w:hAnsi="Times New Roman" w:cs="Times New Roman"/>
          <w:sz w:val="24"/>
          <w:szCs w:val="24"/>
        </w:rPr>
        <w:t xml:space="preserve"> or less.</w:t>
      </w:r>
      <w:r w:rsidR="00CE7313" w:rsidRPr="00955A67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:rsidR="008E41C4" w:rsidRPr="00955A67" w:rsidRDefault="008E41C4" w:rsidP="008E41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pacing w:val="-6"/>
          <w:sz w:val="24"/>
          <w:szCs w:val="24"/>
        </w:rPr>
      </w:pPr>
      <w:r w:rsidRPr="00955A67">
        <w:rPr>
          <w:rFonts w:ascii="Times New Roman" w:hAnsi="Times New Roman" w:cs="Times New Roman"/>
          <w:spacing w:val="-6"/>
          <w:sz w:val="24"/>
          <w:szCs w:val="24"/>
        </w:rPr>
        <w:t>All local occupant</w:t>
      </w:r>
      <w:r w:rsidR="00955A67">
        <w:rPr>
          <w:rFonts w:ascii="Times New Roman" w:hAnsi="Times New Roman" w:cs="Times New Roman"/>
          <w:spacing w:val="-6"/>
          <w:sz w:val="24"/>
          <w:szCs w:val="24"/>
        </w:rPr>
        <w:t>-</w:t>
      </w:r>
      <w:r w:rsidRPr="00955A67">
        <w:rPr>
          <w:rFonts w:ascii="Times New Roman" w:hAnsi="Times New Roman" w:cs="Times New Roman"/>
          <w:spacing w:val="-6"/>
          <w:sz w:val="24"/>
          <w:szCs w:val="24"/>
        </w:rPr>
        <w:t xml:space="preserve">controlled fans are rated at three </w:t>
      </w:r>
      <w:proofErr w:type="spellStart"/>
      <w:r w:rsidRPr="00955A67">
        <w:rPr>
          <w:rFonts w:ascii="Times New Roman" w:hAnsi="Times New Roman" w:cs="Times New Roman"/>
          <w:spacing w:val="-6"/>
          <w:sz w:val="24"/>
          <w:szCs w:val="24"/>
        </w:rPr>
        <w:t>sones</w:t>
      </w:r>
      <w:proofErr w:type="spellEnd"/>
      <w:r w:rsidRPr="00955A67">
        <w:rPr>
          <w:rFonts w:ascii="Times New Roman" w:hAnsi="Times New Roman" w:cs="Times New Roman"/>
          <w:spacing w:val="-6"/>
          <w:sz w:val="24"/>
          <w:szCs w:val="24"/>
        </w:rPr>
        <w:t xml:space="preserve"> or less. All clothes dr</w:t>
      </w:r>
      <w:r w:rsidR="00955A67">
        <w:rPr>
          <w:rFonts w:ascii="Times New Roman" w:hAnsi="Times New Roman" w:cs="Times New Roman"/>
          <w:spacing w:val="-6"/>
          <w:sz w:val="24"/>
          <w:szCs w:val="24"/>
        </w:rPr>
        <w:t>y</w:t>
      </w:r>
      <w:r w:rsidRPr="00955A67">
        <w:rPr>
          <w:rFonts w:ascii="Times New Roman" w:hAnsi="Times New Roman" w:cs="Times New Roman"/>
          <w:spacing w:val="-6"/>
          <w:sz w:val="24"/>
          <w:szCs w:val="24"/>
        </w:rPr>
        <w:t xml:space="preserve">ers are vented to </w:t>
      </w:r>
      <w:r w:rsidR="00955A67">
        <w:rPr>
          <w:rFonts w:ascii="Times New Roman" w:hAnsi="Times New Roman" w:cs="Times New Roman"/>
          <w:spacing w:val="-6"/>
          <w:sz w:val="24"/>
          <w:szCs w:val="24"/>
        </w:rPr>
        <w:t xml:space="preserve">the </w:t>
      </w:r>
      <w:r w:rsidRPr="00955A67">
        <w:rPr>
          <w:rFonts w:ascii="Times New Roman" w:hAnsi="Times New Roman" w:cs="Times New Roman"/>
          <w:spacing w:val="-6"/>
          <w:sz w:val="24"/>
          <w:szCs w:val="24"/>
        </w:rPr>
        <w:t>exterior</w:t>
      </w:r>
      <w:r w:rsidR="00B04193" w:rsidRPr="00955A67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8E41C4" w:rsidRPr="00955A67" w:rsidRDefault="008E41C4" w:rsidP="008E41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A67">
        <w:rPr>
          <w:rFonts w:ascii="Times New Roman" w:hAnsi="Times New Roman" w:cs="Times New Roman"/>
          <w:sz w:val="24"/>
          <w:szCs w:val="24"/>
        </w:rPr>
        <w:t>Adjoining garage(s) are sufficiently air sealed from the living space to prevent migration of contaminants.</w:t>
      </w:r>
    </w:p>
    <w:p w:rsidR="008E41C4" w:rsidRPr="00955A67" w:rsidRDefault="008E41C4" w:rsidP="008E41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A67">
        <w:rPr>
          <w:rFonts w:ascii="Times New Roman" w:hAnsi="Times New Roman" w:cs="Times New Roman"/>
          <w:sz w:val="24"/>
          <w:szCs w:val="24"/>
        </w:rPr>
        <w:t>The whole building fan providing IAQ ventilation air operates automatically without requiring occupant intervention.</w:t>
      </w:r>
    </w:p>
    <w:p w:rsidR="008E41C4" w:rsidRPr="00955A67" w:rsidRDefault="00184CD9" w:rsidP="008E41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4CD9">
        <w:rPr>
          <w:rFonts w:ascii="Times New Roman" w:hAnsi="Times New Roman" w:cs="Times New Roman"/>
          <w:i/>
          <w:sz w:val="24"/>
          <w:szCs w:val="24"/>
        </w:rPr>
        <w:t>If</w:t>
      </w:r>
      <w:r w:rsidR="008E41C4" w:rsidRPr="00955A67">
        <w:rPr>
          <w:rFonts w:ascii="Times New Roman" w:hAnsi="Times New Roman" w:cs="Times New Roman"/>
          <w:sz w:val="24"/>
          <w:szCs w:val="24"/>
        </w:rPr>
        <w:t xml:space="preserve"> the fan providing the IAQ ventilation air is set to cycle on </w:t>
      </w:r>
      <w:r w:rsidR="00955A67">
        <w:rPr>
          <w:rFonts w:ascii="Times New Roman" w:hAnsi="Times New Roman" w:cs="Times New Roman"/>
          <w:sz w:val="24"/>
          <w:szCs w:val="24"/>
        </w:rPr>
        <w:t>and</w:t>
      </w:r>
      <w:r w:rsidR="008E41C4" w:rsidRPr="00955A67">
        <w:rPr>
          <w:rFonts w:ascii="Times New Roman" w:hAnsi="Times New Roman" w:cs="Times New Roman"/>
          <w:sz w:val="24"/>
          <w:szCs w:val="24"/>
        </w:rPr>
        <w:t xml:space="preserve"> off, the entire on/off cycle is completed within four hours. </w:t>
      </w:r>
    </w:p>
    <w:p w:rsidR="008E41C4" w:rsidRPr="00955A67" w:rsidRDefault="008E41C4" w:rsidP="00B04193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955A67">
        <w:rPr>
          <w:rFonts w:ascii="Times New Roman" w:hAnsi="Times New Roman" w:cs="Times New Roman"/>
          <w:sz w:val="24"/>
          <w:szCs w:val="24"/>
        </w:rPr>
        <w:t>The delivered ventilation rate meets the following formula:</w:t>
      </w:r>
    </w:p>
    <w:p w:rsidR="008E41C4" w:rsidRPr="00955A67" w:rsidRDefault="00184CD9" w:rsidP="00B04193">
      <w:pPr>
        <w:ind w:left="720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184CD9">
        <w:rPr>
          <w:rFonts w:ascii="Times New Roman" w:hAnsi="Times New Roman" w:cs="Times New Roman"/>
          <w:b/>
          <w:spacing w:val="-6"/>
          <w:sz w:val="24"/>
          <w:szCs w:val="24"/>
        </w:rPr>
        <w:t>Fan CFM =</w:t>
      </w:r>
      <w:r w:rsidR="00A91A99" w:rsidRPr="00955A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55A67">
        <w:rPr>
          <w:rFonts w:ascii="Times New Roman" w:hAnsi="Times New Roman" w:cs="Times New Roman"/>
          <w:spacing w:val="-6"/>
          <w:sz w:val="24"/>
          <w:szCs w:val="24"/>
        </w:rPr>
        <w:br/>
      </w:r>
      <w:r w:rsidR="00A91A99" w:rsidRPr="00955A67">
        <w:rPr>
          <w:rFonts w:ascii="Times New Roman" w:hAnsi="Times New Roman" w:cs="Times New Roman"/>
          <w:spacing w:val="-6"/>
          <w:sz w:val="24"/>
          <w:szCs w:val="24"/>
        </w:rPr>
        <w:t>[0.01A + (7.5 *</w:t>
      </w:r>
      <w:r w:rsidR="008E41C4" w:rsidRPr="00955A67">
        <w:rPr>
          <w:rFonts w:ascii="Times New Roman" w:hAnsi="Times New Roman" w:cs="Times New Roman"/>
          <w:spacing w:val="-6"/>
          <w:sz w:val="24"/>
          <w:szCs w:val="24"/>
        </w:rPr>
        <w:t xml:space="preserve"> # occupants)] + (alternative compliance ventilation deficit) – (Infiltration credit)</w:t>
      </w:r>
    </w:p>
    <w:p w:rsidR="008E41C4" w:rsidRPr="00955A67" w:rsidRDefault="008E41C4" w:rsidP="00B04193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 w:rsidRPr="00955A67">
        <w:rPr>
          <w:rFonts w:ascii="Times New Roman" w:hAnsi="Times New Roman" w:cs="Times New Roman"/>
          <w:sz w:val="24"/>
          <w:szCs w:val="24"/>
        </w:rPr>
        <w:t>Where:</w:t>
      </w:r>
    </w:p>
    <w:p w:rsidR="008E41C4" w:rsidRPr="00955A67" w:rsidRDefault="008E41C4" w:rsidP="008E41C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A67">
        <w:rPr>
          <w:rFonts w:ascii="Times New Roman" w:hAnsi="Times New Roman" w:cs="Times New Roman"/>
          <w:sz w:val="24"/>
          <w:szCs w:val="24"/>
        </w:rPr>
        <w:t>Fan C</w:t>
      </w:r>
      <w:r w:rsidR="00B04193" w:rsidRPr="00955A67">
        <w:rPr>
          <w:rFonts w:ascii="Times New Roman" w:hAnsi="Times New Roman" w:cs="Times New Roman"/>
          <w:sz w:val="24"/>
          <w:szCs w:val="24"/>
        </w:rPr>
        <w:t xml:space="preserve">FM = </w:t>
      </w:r>
      <w:r w:rsidR="00955A67">
        <w:rPr>
          <w:rFonts w:ascii="Times New Roman" w:hAnsi="Times New Roman" w:cs="Times New Roman"/>
          <w:sz w:val="24"/>
          <w:szCs w:val="24"/>
        </w:rPr>
        <w:t>m</w:t>
      </w:r>
      <w:r w:rsidR="00B04193" w:rsidRPr="00955A67">
        <w:rPr>
          <w:rFonts w:ascii="Times New Roman" w:hAnsi="Times New Roman" w:cs="Times New Roman"/>
          <w:sz w:val="24"/>
          <w:szCs w:val="24"/>
        </w:rPr>
        <w:t xml:space="preserve">easured CFM delivered by </w:t>
      </w:r>
      <w:r w:rsidRPr="00955A67">
        <w:rPr>
          <w:rFonts w:ascii="Times New Roman" w:hAnsi="Times New Roman" w:cs="Times New Roman"/>
          <w:sz w:val="24"/>
          <w:szCs w:val="24"/>
        </w:rPr>
        <w:t>designated whole building ventilation fan</w:t>
      </w:r>
      <w:r w:rsidR="00B04193" w:rsidRPr="00955A67">
        <w:rPr>
          <w:rFonts w:ascii="Times New Roman" w:hAnsi="Times New Roman" w:cs="Times New Roman"/>
          <w:sz w:val="24"/>
          <w:szCs w:val="24"/>
        </w:rPr>
        <w:t>.</w:t>
      </w:r>
    </w:p>
    <w:p w:rsidR="008E41C4" w:rsidRPr="00955A67" w:rsidRDefault="008E41C4" w:rsidP="008E41C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A67">
        <w:rPr>
          <w:rFonts w:ascii="Times New Roman" w:hAnsi="Times New Roman" w:cs="Times New Roman"/>
          <w:sz w:val="24"/>
          <w:szCs w:val="24"/>
        </w:rPr>
        <w:t xml:space="preserve">A = </w:t>
      </w:r>
      <w:r w:rsidR="00955A67">
        <w:rPr>
          <w:rFonts w:ascii="Times New Roman" w:hAnsi="Times New Roman" w:cs="Times New Roman"/>
          <w:sz w:val="24"/>
          <w:szCs w:val="24"/>
        </w:rPr>
        <w:t>a</w:t>
      </w:r>
      <w:r w:rsidRPr="00955A67">
        <w:rPr>
          <w:rFonts w:ascii="Times New Roman" w:hAnsi="Times New Roman" w:cs="Times New Roman"/>
          <w:sz w:val="24"/>
          <w:szCs w:val="24"/>
        </w:rPr>
        <w:t>rea of the conditioned space in square feet</w:t>
      </w:r>
      <w:r w:rsidR="00B04193" w:rsidRPr="00955A67">
        <w:rPr>
          <w:rFonts w:ascii="Times New Roman" w:hAnsi="Times New Roman" w:cs="Times New Roman"/>
          <w:sz w:val="24"/>
          <w:szCs w:val="24"/>
        </w:rPr>
        <w:t>.</w:t>
      </w:r>
    </w:p>
    <w:p w:rsidR="008E41C4" w:rsidRPr="00955A67" w:rsidRDefault="008E41C4" w:rsidP="008E41C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5A67">
        <w:rPr>
          <w:rFonts w:ascii="Times New Roman" w:hAnsi="Times New Roman" w:cs="Times New Roman"/>
          <w:sz w:val="24"/>
          <w:szCs w:val="24"/>
        </w:rPr>
        <w:t xml:space="preserve"># </w:t>
      </w:r>
      <w:proofErr w:type="gramStart"/>
      <w:r w:rsidRPr="00955A67">
        <w:rPr>
          <w:rFonts w:ascii="Times New Roman" w:hAnsi="Times New Roman" w:cs="Times New Roman"/>
          <w:sz w:val="24"/>
          <w:szCs w:val="24"/>
        </w:rPr>
        <w:t>occupants</w:t>
      </w:r>
      <w:proofErr w:type="gramEnd"/>
      <w:r w:rsidR="00B04193" w:rsidRPr="00955A67">
        <w:rPr>
          <w:rFonts w:ascii="Times New Roman" w:hAnsi="Times New Roman" w:cs="Times New Roman"/>
          <w:sz w:val="24"/>
          <w:szCs w:val="24"/>
        </w:rPr>
        <w:t xml:space="preserve"> = number of bedrooms + 1.</w:t>
      </w:r>
    </w:p>
    <w:p w:rsidR="008E41C4" w:rsidRPr="00955A67" w:rsidRDefault="008E41C4" w:rsidP="008E41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00000" w:rsidRDefault="00B04193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A67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  <w:r w:rsidR="00184CD9" w:rsidRPr="00184CD9">
        <w:rPr>
          <w:rFonts w:ascii="Times New Roman" w:hAnsi="Times New Roman" w:cs="Times New Roman"/>
          <w:b/>
          <w:sz w:val="24"/>
          <w:szCs w:val="24"/>
        </w:rPr>
        <w:lastRenderedPageBreak/>
        <w:t>Alternative Compliance Deficit Calculation</w:t>
      </w:r>
    </w:p>
    <w:p w:rsidR="008E41C4" w:rsidRPr="00955A67" w:rsidRDefault="008E41C4" w:rsidP="00B04193">
      <w:pPr>
        <w:pStyle w:val="FootnoteText"/>
        <w:spacing w:after="200"/>
        <w:rPr>
          <w:rFonts w:ascii="Times New Roman" w:hAnsi="Times New Roman" w:cs="Times New Roman"/>
          <w:bCs/>
        </w:rPr>
      </w:pPr>
      <w:r w:rsidRPr="00955A67">
        <w:rPr>
          <w:rFonts w:ascii="Times New Roman" w:hAnsi="Times New Roman" w:cs="Times New Roman"/>
          <w:bCs/>
        </w:rPr>
        <w:t xml:space="preserve">In each room where a local ventilation fan is required and a fan </w:t>
      </w:r>
      <w:r w:rsidR="00A91A99" w:rsidRPr="00955A67">
        <w:rPr>
          <w:rFonts w:ascii="Times New Roman" w:hAnsi="Times New Roman" w:cs="Times New Roman"/>
          <w:bCs/>
        </w:rPr>
        <w:t>either doesn’t exist or doesn’t</w:t>
      </w:r>
      <w:r w:rsidRPr="00955A67">
        <w:rPr>
          <w:rFonts w:ascii="Times New Roman" w:hAnsi="Times New Roman" w:cs="Times New Roman"/>
          <w:bCs/>
        </w:rPr>
        <w:t xml:space="preserve"> deliver the required CFM, determine the deficit relative to the required rate</w:t>
      </w:r>
      <w:r w:rsidR="00955A67">
        <w:rPr>
          <w:rFonts w:ascii="Times New Roman" w:hAnsi="Times New Roman" w:cs="Times New Roman"/>
          <w:bCs/>
        </w:rPr>
        <w:t xml:space="preserve">. </w:t>
      </w:r>
      <w:proofErr w:type="gramStart"/>
      <w:r w:rsidR="00955A67">
        <w:rPr>
          <w:rFonts w:ascii="Times New Roman" w:hAnsi="Times New Roman" w:cs="Times New Roman"/>
          <w:bCs/>
        </w:rPr>
        <w:t xml:space="preserve">For </w:t>
      </w:r>
      <w:r w:rsidR="00034B9C">
        <w:rPr>
          <w:rFonts w:ascii="Times New Roman" w:hAnsi="Times New Roman" w:cs="Times New Roman"/>
          <w:bCs/>
        </w:rPr>
        <w:t xml:space="preserve">example, </w:t>
      </w:r>
      <w:r w:rsidR="00034B9C" w:rsidRPr="00955A67">
        <w:rPr>
          <w:rFonts w:ascii="Times New Roman" w:hAnsi="Times New Roman" w:cs="Times New Roman"/>
          <w:bCs/>
        </w:rPr>
        <w:t>how</w:t>
      </w:r>
      <w:r w:rsidRPr="00955A67">
        <w:rPr>
          <w:rFonts w:ascii="Times New Roman" w:hAnsi="Times New Roman" w:cs="Times New Roman"/>
          <w:bCs/>
        </w:rPr>
        <w:t xml:space="preserve"> much less than 50 CFM in each full bathroom?</w:t>
      </w:r>
      <w:proofErr w:type="gramEnd"/>
      <w:r w:rsidRPr="00955A67">
        <w:rPr>
          <w:rFonts w:ascii="Times New Roman" w:hAnsi="Times New Roman" w:cs="Times New Roman"/>
          <w:bCs/>
        </w:rPr>
        <w:t xml:space="preserve"> How much less than 100 CFM in each kitchen? For each room with a deficit, reduce the room’s deficit by 20 CFM if that room has an </w:t>
      </w:r>
      <w:proofErr w:type="spellStart"/>
      <w:r w:rsidRPr="00955A67">
        <w:rPr>
          <w:rFonts w:ascii="Times New Roman" w:hAnsi="Times New Roman" w:cs="Times New Roman"/>
          <w:bCs/>
        </w:rPr>
        <w:t>openable</w:t>
      </w:r>
      <w:proofErr w:type="spellEnd"/>
      <w:r w:rsidRPr="00955A67">
        <w:rPr>
          <w:rFonts w:ascii="Times New Roman" w:hAnsi="Times New Roman" w:cs="Times New Roman"/>
          <w:bCs/>
        </w:rPr>
        <w:t xml:space="preserve"> window</w:t>
      </w:r>
      <w:r w:rsidR="00CE7313" w:rsidRPr="00955A67">
        <w:rPr>
          <w:rFonts w:ascii="Times New Roman" w:hAnsi="Times New Roman" w:cs="Times New Roman"/>
          <w:bCs/>
        </w:rPr>
        <w:t xml:space="preserve"> (deficit not to drop below zero)</w:t>
      </w:r>
      <w:r w:rsidRPr="00955A67">
        <w:rPr>
          <w:rFonts w:ascii="Times New Roman" w:hAnsi="Times New Roman" w:cs="Times New Roman"/>
          <w:bCs/>
        </w:rPr>
        <w:t xml:space="preserve">. Sum all deficits and divide the total by 4. Add the result to the </w:t>
      </w:r>
      <w:r w:rsidR="00CE7313" w:rsidRPr="00955A67">
        <w:rPr>
          <w:rFonts w:ascii="Times New Roman" w:hAnsi="Times New Roman" w:cs="Times New Roman"/>
          <w:bCs/>
        </w:rPr>
        <w:t xml:space="preserve">continuous </w:t>
      </w:r>
      <w:r w:rsidRPr="00955A67">
        <w:rPr>
          <w:rFonts w:ascii="Times New Roman" w:hAnsi="Times New Roman" w:cs="Times New Roman"/>
          <w:bCs/>
        </w:rPr>
        <w:t>whole-building ventilation requirement.</w:t>
      </w:r>
    </w:p>
    <w:p w:rsidR="00B04193" w:rsidRPr="00955A67" w:rsidRDefault="00184CD9" w:rsidP="00B0419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84CD9">
        <w:rPr>
          <w:rFonts w:ascii="Times New Roman" w:hAnsi="Times New Roman" w:cs="Times New Roman"/>
          <w:b/>
          <w:sz w:val="24"/>
          <w:szCs w:val="24"/>
        </w:rPr>
        <w:t>Calculation of the Infiltration Credit</w:t>
      </w:r>
    </w:p>
    <w:p w:rsidR="00000000" w:rsidRDefault="00B041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5A67">
        <w:rPr>
          <w:rFonts w:ascii="Times New Roman" w:hAnsi="Times New Roman" w:cs="Times New Roman"/>
          <w:sz w:val="24"/>
          <w:szCs w:val="24"/>
        </w:rPr>
        <w:t xml:space="preserve">The infiltration credit that can be used to reduce the required installed fan flow requires a series of calculations. These calculations can be reduced to a few inputs using certain assumptions. This section provides this reduced equation for infiltration and shows how to use this to determine the credit for infiltration. </w:t>
      </w:r>
    </w:p>
    <w:p w:rsidR="00B04193" w:rsidRPr="00955A67" w:rsidRDefault="00B04193" w:rsidP="00B04193">
      <w:pPr>
        <w:pStyle w:val="ListParagraph"/>
        <w:numPr>
          <w:ilvl w:val="0"/>
          <w:numId w:val="4"/>
        </w:numPr>
        <w:spacing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955A67">
        <w:rPr>
          <w:rFonts w:ascii="Times New Roman" w:hAnsi="Times New Roman" w:cs="Times New Roman"/>
          <w:sz w:val="24"/>
          <w:szCs w:val="24"/>
        </w:rPr>
        <w:t>The infiltration rate at operating conditions, measured in CFM, can be estimated as</w:t>
      </w:r>
    </w:p>
    <w:p w:rsidR="00000000" w:rsidRDefault="00184C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4CD9">
        <w:rPr>
          <w:rFonts w:ascii="Times New Roman" w:hAnsi="Times New Roman" w:cs="Times New Roman"/>
          <w:sz w:val="24"/>
          <w:szCs w:val="24"/>
        </w:rPr>
        <w:t>I</w:t>
      </w:r>
      <w:r w:rsidRPr="00184CD9">
        <w:rPr>
          <w:rFonts w:ascii="Times New Roman" w:hAnsi="Times New Roman" w:cs="Times New Roman"/>
          <w:sz w:val="24"/>
          <w:szCs w:val="24"/>
          <w:vertAlign w:val="subscript"/>
        </w:rPr>
        <w:t>CFM</w:t>
      </w:r>
      <w:r w:rsidRPr="00184CD9">
        <w:rPr>
          <w:rFonts w:ascii="Times New Roman" w:hAnsi="Times New Roman" w:cs="Times New Roman"/>
          <w:sz w:val="24"/>
          <w:szCs w:val="24"/>
        </w:rPr>
        <w:t xml:space="preserve"> = 0.0508 * w * S * Q</w:t>
      </w:r>
      <w:r w:rsidRPr="00184CD9">
        <w:rPr>
          <w:rFonts w:ascii="Times New Roman" w:hAnsi="Times New Roman" w:cs="Times New Roman"/>
          <w:sz w:val="24"/>
          <w:szCs w:val="24"/>
          <w:vertAlign w:val="subscript"/>
        </w:rPr>
        <w:t>50</w:t>
      </w:r>
    </w:p>
    <w:p w:rsidR="00B04193" w:rsidRPr="00955A67" w:rsidRDefault="00B04193" w:rsidP="00B04193">
      <w:pPr>
        <w:rPr>
          <w:rFonts w:ascii="Times New Roman" w:hAnsi="Times New Roman" w:cs="Times New Roman"/>
          <w:sz w:val="24"/>
          <w:szCs w:val="24"/>
        </w:rPr>
      </w:pPr>
      <w:r w:rsidRPr="00955A67">
        <w:rPr>
          <w:rFonts w:ascii="Times New Roman" w:hAnsi="Times New Roman" w:cs="Times New Roman"/>
          <w:sz w:val="24"/>
          <w:szCs w:val="24"/>
        </w:rPr>
        <w:t>In this equation:</w:t>
      </w:r>
    </w:p>
    <w:p w:rsidR="00000000" w:rsidRDefault="00184CD9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CD9">
        <w:rPr>
          <w:rFonts w:ascii="Times New Roman" w:hAnsi="Times New Roman" w:cs="Times New Roman"/>
          <w:i/>
          <w:sz w:val="24"/>
          <w:szCs w:val="24"/>
        </w:rPr>
        <w:t>S</w:t>
      </w:r>
      <w:r w:rsidRPr="00184CD9">
        <w:rPr>
          <w:rFonts w:ascii="Times New Roman" w:hAnsi="Times New Roman" w:cs="Times New Roman"/>
          <w:sz w:val="24"/>
          <w:szCs w:val="24"/>
        </w:rPr>
        <w:t xml:space="preserve"> is a factor accounting for the height of the building, determined from Table X-1.</w:t>
      </w:r>
    </w:p>
    <w:p w:rsidR="00000000" w:rsidRDefault="00184CD9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4CD9">
        <w:rPr>
          <w:rFonts w:ascii="Times New Roman" w:hAnsi="Times New Roman" w:cs="Times New Roman"/>
          <w:i/>
          <w:sz w:val="24"/>
          <w:szCs w:val="24"/>
        </w:rPr>
        <w:t>Q</w:t>
      </w:r>
      <w:r w:rsidRPr="00184CD9">
        <w:rPr>
          <w:rFonts w:ascii="Times New Roman" w:hAnsi="Times New Roman" w:cs="Times New Roman"/>
          <w:i/>
          <w:sz w:val="24"/>
          <w:szCs w:val="24"/>
          <w:vertAlign w:val="subscript"/>
        </w:rPr>
        <w:t>50</w:t>
      </w:r>
      <w:r w:rsidRPr="00184C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4CD9">
        <w:rPr>
          <w:rFonts w:ascii="Times New Roman" w:hAnsi="Times New Roman" w:cs="Times New Roman"/>
          <w:sz w:val="24"/>
          <w:szCs w:val="24"/>
        </w:rPr>
        <w:t>is the blower door test result in CFM50 (cubic feet per minute at 50 Pa).</w:t>
      </w:r>
    </w:p>
    <w:p w:rsidR="00000000" w:rsidRDefault="00184CD9">
      <w:pPr>
        <w:pStyle w:val="ListParagraph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84CD9">
        <w:rPr>
          <w:rFonts w:ascii="Times New Roman" w:hAnsi="Times New Roman" w:cs="Times New Roman"/>
          <w:i/>
          <w:sz w:val="24"/>
          <w:szCs w:val="24"/>
        </w:rPr>
        <w:t>w</w:t>
      </w:r>
      <w:proofErr w:type="gramEnd"/>
      <w:r w:rsidRPr="00184C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4CD9">
        <w:rPr>
          <w:rFonts w:ascii="Times New Roman" w:hAnsi="Times New Roman" w:cs="Times New Roman"/>
          <w:sz w:val="24"/>
          <w:szCs w:val="24"/>
        </w:rPr>
        <w:t>is the weather factor from ASHRAE Standard 136.</w:t>
      </w:r>
    </w:p>
    <w:p w:rsidR="00B04193" w:rsidRPr="00955A67" w:rsidRDefault="00B04193" w:rsidP="00B041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55A67">
        <w:rPr>
          <w:rFonts w:ascii="Times New Roman" w:hAnsi="Times New Roman" w:cs="Times New Roman"/>
          <w:sz w:val="24"/>
          <w:szCs w:val="24"/>
        </w:rPr>
        <w:t>Table X-1.</w:t>
      </w:r>
      <w:proofErr w:type="gramEnd"/>
      <w:r w:rsidRPr="00955A67">
        <w:rPr>
          <w:rFonts w:ascii="Times New Roman" w:hAnsi="Times New Roman" w:cs="Times New Roman"/>
          <w:sz w:val="24"/>
          <w:szCs w:val="24"/>
        </w:rPr>
        <w:t xml:space="preserve"> S factors for various building heights</w:t>
      </w:r>
    </w:p>
    <w:tbl>
      <w:tblPr>
        <w:tblStyle w:val="TableGrid"/>
        <w:tblW w:w="0" w:type="auto"/>
        <w:tblLook w:val="04A0"/>
      </w:tblPr>
      <w:tblGrid>
        <w:gridCol w:w="2178"/>
        <w:gridCol w:w="1440"/>
        <w:gridCol w:w="1440"/>
        <w:gridCol w:w="1530"/>
        <w:gridCol w:w="1485"/>
        <w:gridCol w:w="1503"/>
      </w:tblGrid>
      <w:tr w:rsidR="00B04193" w:rsidRPr="00955A67">
        <w:tc>
          <w:tcPr>
            <w:tcW w:w="2178" w:type="dxa"/>
          </w:tcPr>
          <w:p w:rsidR="00000000" w:rsidRDefault="00B04193">
            <w:pPr>
              <w:spacing w:after="200"/>
              <w:jc w:val="center"/>
              <w:rPr>
                <w:rFonts w:ascii="Times New Roman" w:hAnsi="Times New Roman" w:cstheme="minorBidi"/>
                <w:b/>
                <w:sz w:val="24"/>
                <w:szCs w:val="24"/>
              </w:rPr>
            </w:pPr>
            <w:r w:rsidRPr="00955A67">
              <w:rPr>
                <w:rFonts w:ascii="Times New Roman" w:hAnsi="Times New Roman"/>
                <w:b/>
                <w:sz w:val="24"/>
                <w:szCs w:val="24"/>
              </w:rPr>
              <w:t>Number of Stories</w:t>
            </w:r>
          </w:p>
        </w:tc>
        <w:tc>
          <w:tcPr>
            <w:tcW w:w="1440" w:type="dxa"/>
          </w:tcPr>
          <w:p w:rsidR="00B04193" w:rsidRPr="00955A67" w:rsidRDefault="00B04193" w:rsidP="00B0419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B04193" w:rsidRPr="00955A67" w:rsidRDefault="00B04193" w:rsidP="00B0419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6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530" w:type="dxa"/>
          </w:tcPr>
          <w:p w:rsidR="00B04193" w:rsidRPr="00955A67" w:rsidRDefault="00B04193" w:rsidP="00B0419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</w:tcPr>
          <w:p w:rsidR="00B04193" w:rsidRPr="00955A67" w:rsidRDefault="00B04193" w:rsidP="00B0419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6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503" w:type="dxa"/>
          </w:tcPr>
          <w:p w:rsidR="00B04193" w:rsidRPr="00955A67" w:rsidRDefault="00B04193" w:rsidP="00B0419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04193" w:rsidRPr="00955A67">
        <w:tc>
          <w:tcPr>
            <w:tcW w:w="2178" w:type="dxa"/>
          </w:tcPr>
          <w:p w:rsidR="00000000" w:rsidRDefault="00B04193">
            <w:pPr>
              <w:spacing w:after="200"/>
              <w:jc w:val="center"/>
              <w:rPr>
                <w:rFonts w:ascii="Times New Roman" w:hAnsi="Times New Roman" w:cstheme="minorBidi"/>
                <w:b/>
                <w:sz w:val="24"/>
                <w:szCs w:val="24"/>
              </w:rPr>
            </w:pPr>
            <w:r w:rsidRPr="00955A67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</w:tc>
        <w:tc>
          <w:tcPr>
            <w:tcW w:w="1440" w:type="dxa"/>
          </w:tcPr>
          <w:p w:rsidR="00B04193" w:rsidRPr="00955A67" w:rsidRDefault="00B04193" w:rsidP="00B0419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B04193" w:rsidRPr="00955A67" w:rsidRDefault="00B04193" w:rsidP="00B0419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67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1530" w:type="dxa"/>
          </w:tcPr>
          <w:p w:rsidR="00B04193" w:rsidRPr="00955A67" w:rsidRDefault="00B04193" w:rsidP="00B0419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67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1485" w:type="dxa"/>
          </w:tcPr>
          <w:p w:rsidR="00B04193" w:rsidRPr="00955A67" w:rsidRDefault="00B04193" w:rsidP="00B0419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67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1503" w:type="dxa"/>
          </w:tcPr>
          <w:p w:rsidR="00B04193" w:rsidRPr="00955A67" w:rsidRDefault="00B04193" w:rsidP="00B04193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67">
              <w:rPr>
                <w:rFonts w:ascii="Times New Roman" w:hAnsi="Times New Roman"/>
                <w:sz w:val="24"/>
                <w:szCs w:val="24"/>
              </w:rPr>
              <w:t>1.39</w:t>
            </w:r>
          </w:p>
        </w:tc>
      </w:tr>
    </w:tbl>
    <w:p w:rsidR="00B04193" w:rsidRPr="00955A67" w:rsidRDefault="00B04193" w:rsidP="00B041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193" w:rsidRPr="00955A67" w:rsidRDefault="00B04193" w:rsidP="00B04193">
      <w:pPr>
        <w:pStyle w:val="ListParagraph"/>
        <w:numPr>
          <w:ilvl w:val="0"/>
          <w:numId w:val="4"/>
        </w:numPr>
        <w:spacing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955A67">
        <w:rPr>
          <w:rFonts w:ascii="Times New Roman" w:hAnsi="Times New Roman" w:cs="Times New Roman"/>
          <w:sz w:val="24"/>
          <w:szCs w:val="24"/>
        </w:rPr>
        <w:t xml:space="preserve">The default infiltration rate </w:t>
      </w:r>
      <w:r w:rsidRPr="00955A67">
        <w:rPr>
          <w:rFonts w:ascii="Times New Roman" w:hAnsi="Times New Roman" w:cs="Times New Roman"/>
          <w:i/>
          <w:sz w:val="24"/>
          <w:szCs w:val="24"/>
        </w:rPr>
        <w:t>I</w:t>
      </w:r>
      <w:r w:rsidR="00184CD9" w:rsidRPr="00184CD9">
        <w:rPr>
          <w:rFonts w:ascii="Times New Roman" w:hAnsi="Times New Roman" w:cs="Times New Roman"/>
          <w:i/>
          <w:sz w:val="24"/>
          <w:szCs w:val="24"/>
          <w:vertAlign w:val="subscript"/>
        </w:rPr>
        <w:t>d</w:t>
      </w:r>
      <w:r w:rsidR="00184CD9" w:rsidRPr="00184CD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55A67">
        <w:rPr>
          <w:rFonts w:ascii="Times New Roman" w:hAnsi="Times New Roman" w:cs="Times New Roman"/>
          <w:sz w:val="24"/>
          <w:szCs w:val="24"/>
        </w:rPr>
        <w:t>fro</w:t>
      </w:r>
      <w:r w:rsidR="009E2E8D" w:rsidRPr="00955A67">
        <w:rPr>
          <w:rFonts w:ascii="Times New Roman" w:hAnsi="Times New Roman" w:cs="Times New Roman"/>
          <w:sz w:val="24"/>
          <w:szCs w:val="24"/>
        </w:rPr>
        <w:t>m ASHRAE Standard 62.2, measured</w:t>
      </w:r>
      <w:r w:rsidRPr="00955A67">
        <w:rPr>
          <w:rFonts w:ascii="Times New Roman" w:hAnsi="Times New Roman" w:cs="Times New Roman"/>
          <w:sz w:val="24"/>
          <w:szCs w:val="24"/>
        </w:rPr>
        <w:t xml:space="preserve"> in CFM, is</w:t>
      </w:r>
    </w:p>
    <w:p w:rsidR="00000000" w:rsidRDefault="00184CD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4CD9">
        <w:rPr>
          <w:rFonts w:ascii="Times New Roman" w:hAnsi="Times New Roman" w:cs="Times New Roman"/>
          <w:sz w:val="24"/>
          <w:szCs w:val="24"/>
        </w:rPr>
        <w:t>I</w:t>
      </w:r>
      <w:r w:rsidRPr="00184CD9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184CD9">
        <w:rPr>
          <w:rFonts w:ascii="Times New Roman" w:hAnsi="Times New Roman" w:cs="Times New Roman"/>
          <w:sz w:val="24"/>
          <w:szCs w:val="24"/>
        </w:rPr>
        <w:t xml:space="preserve">  </w:t>
      </w:r>
      <w:r w:rsidR="00B04193" w:rsidRPr="00955A67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="00B04193" w:rsidRPr="00955A67">
        <w:rPr>
          <w:rFonts w:ascii="Times New Roman" w:hAnsi="Times New Roman" w:cs="Times New Roman"/>
          <w:sz w:val="24"/>
          <w:szCs w:val="24"/>
        </w:rPr>
        <w:t xml:space="preserve"> 0.02 * </w:t>
      </w:r>
      <w:proofErr w:type="spellStart"/>
      <w:r w:rsidRPr="00184CD9">
        <w:rPr>
          <w:rFonts w:ascii="Times New Roman" w:hAnsi="Times New Roman" w:cs="Times New Roman"/>
          <w:sz w:val="24"/>
          <w:szCs w:val="24"/>
        </w:rPr>
        <w:t>A</w:t>
      </w:r>
      <w:r w:rsidRPr="00184CD9">
        <w:rPr>
          <w:rFonts w:ascii="Times New Roman" w:hAnsi="Times New Roman" w:cs="Times New Roman"/>
          <w:sz w:val="24"/>
          <w:szCs w:val="24"/>
          <w:vertAlign w:val="subscript"/>
        </w:rPr>
        <w:t>floor</w:t>
      </w:r>
      <w:proofErr w:type="spellEnd"/>
    </w:p>
    <w:p w:rsidR="00B04193" w:rsidRPr="00955A67" w:rsidRDefault="00B04193" w:rsidP="00B04193">
      <w:pPr>
        <w:pStyle w:val="ListParagraph"/>
        <w:numPr>
          <w:ilvl w:val="0"/>
          <w:numId w:val="4"/>
        </w:numPr>
        <w:spacing w:line="240" w:lineRule="auto"/>
        <w:ind w:left="270" w:hanging="270"/>
        <w:rPr>
          <w:rFonts w:ascii="Times New Roman" w:hAnsi="Times New Roman" w:cs="Times New Roman"/>
          <w:sz w:val="24"/>
          <w:szCs w:val="24"/>
          <w:u w:val="single"/>
        </w:rPr>
      </w:pPr>
      <w:r w:rsidRPr="00955A67">
        <w:rPr>
          <w:rFonts w:ascii="Times New Roman" w:hAnsi="Times New Roman" w:cs="Times New Roman"/>
          <w:sz w:val="24"/>
          <w:szCs w:val="24"/>
        </w:rPr>
        <w:t xml:space="preserve">If </w:t>
      </w:r>
      <w:r w:rsidRPr="00955A67">
        <w:rPr>
          <w:rFonts w:ascii="Times New Roman" w:hAnsi="Times New Roman" w:cs="Times New Roman"/>
          <w:i/>
          <w:sz w:val="24"/>
          <w:szCs w:val="24"/>
        </w:rPr>
        <w:t>I</w:t>
      </w:r>
      <w:r w:rsidRPr="00955A67">
        <w:rPr>
          <w:rFonts w:ascii="Times New Roman" w:hAnsi="Times New Roman" w:cs="Times New Roman"/>
          <w:i/>
          <w:sz w:val="24"/>
          <w:szCs w:val="24"/>
          <w:vertAlign w:val="subscript"/>
        </w:rPr>
        <w:t>CFM</w:t>
      </w:r>
      <w:r w:rsidRPr="00955A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3F9B" w:rsidRPr="00955A67">
        <w:rPr>
          <w:rFonts w:ascii="Times New Roman" w:hAnsi="Times New Roman" w:cs="Times New Roman"/>
          <w:sz w:val="24"/>
          <w:szCs w:val="24"/>
        </w:rPr>
        <w:t xml:space="preserve"> is greater than</w:t>
      </w:r>
      <w:r w:rsidRPr="00955A67">
        <w:rPr>
          <w:rFonts w:ascii="Times New Roman" w:hAnsi="Times New Roman" w:cs="Times New Roman"/>
          <w:sz w:val="24"/>
          <w:szCs w:val="24"/>
        </w:rPr>
        <w:t xml:space="preserve"> </w:t>
      </w:r>
      <w:r w:rsidRPr="00955A67">
        <w:rPr>
          <w:rFonts w:ascii="Times New Roman" w:hAnsi="Times New Roman" w:cs="Times New Roman"/>
          <w:i/>
          <w:sz w:val="24"/>
          <w:szCs w:val="24"/>
        </w:rPr>
        <w:t>I</w:t>
      </w:r>
      <w:r w:rsidRPr="00955A67">
        <w:rPr>
          <w:rFonts w:ascii="Times New Roman" w:hAnsi="Times New Roman" w:cs="Times New Roman"/>
          <w:i/>
          <w:sz w:val="24"/>
          <w:szCs w:val="24"/>
          <w:vertAlign w:val="subscript"/>
        </w:rPr>
        <w:t>d</w:t>
      </w:r>
      <w:r w:rsidRPr="00955A67">
        <w:rPr>
          <w:rFonts w:ascii="Times New Roman" w:hAnsi="Times New Roman" w:cs="Times New Roman"/>
          <w:sz w:val="24"/>
          <w:szCs w:val="24"/>
        </w:rPr>
        <w:t xml:space="preserve">, then the infiltration credit </w:t>
      </w:r>
      <w:proofErr w:type="spellStart"/>
      <w:r w:rsidRPr="00955A67">
        <w:rPr>
          <w:rFonts w:ascii="Times New Roman" w:hAnsi="Times New Roman" w:cs="Times New Roman"/>
          <w:i/>
          <w:sz w:val="24"/>
          <w:szCs w:val="24"/>
        </w:rPr>
        <w:t>I</w:t>
      </w:r>
      <w:r w:rsidRPr="00955A67">
        <w:rPr>
          <w:rFonts w:ascii="Times New Roman" w:hAnsi="Times New Roman" w:cs="Times New Roman"/>
          <w:i/>
          <w:sz w:val="24"/>
          <w:szCs w:val="24"/>
          <w:vertAlign w:val="subscript"/>
        </w:rPr>
        <w:t>cred</w:t>
      </w:r>
      <w:proofErr w:type="spellEnd"/>
      <w:r w:rsidRPr="00955A6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55A67">
        <w:rPr>
          <w:rFonts w:ascii="Times New Roman" w:hAnsi="Times New Roman" w:cs="Times New Roman"/>
          <w:sz w:val="24"/>
          <w:szCs w:val="24"/>
        </w:rPr>
        <w:t xml:space="preserve">can be calculated as </w:t>
      </w:r>
    </w:p>
    <w:p w:rsidR="00000000" w:rsidRDefault="00B0419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55A67">
        <w:rPr>
          <w:rFonts w:ascii="Times New Roman" w:hAnsi="Times New Roman" w:cs="Times New Roman"/>
          <w:i/>
          <w:sz w:val="24"/>
          <w:szCs w:val="24"/>
        </w:rPr>
        <w:t>I</w:t>
      </w:r>
      <w:r w:rsidRPr="00955A67">
        <w:rPr>
          <w:rFonts w:ascii="Times New Roman" w:hAnsi="Times New Roman" w:cs="Times New Roman"/>
          <w:i/>
          <w:sz w:val="24"/>
          <w:szCs w:val="24"/>
          <w:vertAlign w:val="subscript"/>
        </w:rPr>
        <w:t>cred</w:t>
      </w:r>
      <w:proofErr w:type="spellEnd"/>
      <w:r w:rsidRPr="00955A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5A67">
        <w:rPr>
          <w:rFonts w:ascii="Times New Roman" w:hAnsi="Times New Roman" w:cs="Times New Roman"/>
          <w:sz w:val="24"/>
          <w:szCs w:val="24"/>
        </w:rPr>
        <w:t>= ½ (</w:t>
      </w:r>
      <w:proofErr w:type="gramStart"/>
      <w:r w:rsidRPr="00955A67">
        <w:rPr>
          <w:rFonts w:ascii="Times New Roman" w:hAnsi="Times New Roman" w:cs="Times New Roman"/>
          <w:i/>
          <w:sz w:val="24"/>
          <w:szCs w:val="24"/>
        </w:rPr>
        <w:t>I</w:t>
      </w:r>
      <w:r w:rsidRPr="00955A67">
        <w:rPr>
          <w:rFonts w:ascii="Times New Roman" w:hAnsi="Times New Roman" w:cs="Times New Roman"/>
          <w:i/>
          <w:sz w:val="24"/>
          <w:szCs w:val="24"/>
          <w:vertAlign w:val="subscript"/>
        </w:rPr>
        <w:t>CFM</w:t>
      </w:r>
      <w:r w:rsidRPr="00955A67">
        <w:rPr>
          <w:rFonts w:ascii="Times New Roman" w:hAnsi="Times New Roman" w:cs="Times New Roman"/>
          <w:i/>
          <w:sz w:val="24"/>
          <w:szCs w:val="24"/>
        </w:rPr>
        <w:t xml:space="preserve">  –</w:t>
      </w:r>
      <w:proofErr w:type="gramEnd"/>
      <w:r w:rsidRPr="00955A67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Pr="00955A67">
        <w:rPr>
          <w:rFonts w:ascii="Times New Roman" w:hAnsi="Times New Roman" w:cs="Times New Roman"/>
          <w:i/>
          <w:sz w:val="24"/>
          <w:szCs w:val="24"/>
          <w:vertAlign w:val="subscript"/>
        </w:rPr>
        <w:t>d</w:t>
      </w:r>
      <w:r w:rsidRPr="00955A67">
        <w:rPr>
          <w:rFonts w:ascii="Times New Roman" w:hAnsi="Times New Roman" w:cs="Times New Roman"/>
          <w:sz w:val="24"/>
          <w:szCs w:val="24"/>
        </w:rPr>
        <w:t>)</w:t>
      </w:r>
    </w:p>
    <w:p w:rsidR="008E41C4" w:rsidRPr="00955A67" w:rsidRDefault="008E41C4" w:rsidP="00B04193">
      <w:pPr>
        <w:pStyle w:val="FootnoteText"/>
        <w:spacing w:after="200"/>
        <w:rPr>
          <w:rFonts w:ascii="Times New Roman" w:hAnsi="Times New Roman" w:cs="Times New Roman"/>
        </w:rPr>
      </w:pPr>
      <w:r w:rsidRPr="00955A67">
        <w:rPr>
          <w:rFonts w:ascii="Times New Roman" w:hAnsi="Times New Roman" w:cs="Times New Roman"/>
        </w:rPr>
        <w:t xml:space="preserve">The final infiltration credit equation becomes: </w:t>
      </w:r>
    </w:p>
    <w:p w:rsidR="00000000" w:rsidRDefault="009E2E8D">
      <w:pPr>
        <w:pStyle w:val="FootnoteText"/>
        <w:spacing w:after="200"/>
        <w:jc w:val="center"/>
        <w:rPr>
          <w:rFonts w:ascii="Times New Roman" w:hAnsi="Times New Roman" w:cs="Times New Roman"/>
        </w:rPr>
      </w:pPr>
      <w:r w:rsidRPr="00955A67">
        <w:rPr>
          <w:rFonts w:ascii="Times New Roman" w:hAnsi="Times New Roman" w:cs="Times New Roman"/>
        </w:rPr>
        <w:t>Infiltration credit = 0.5 * [(0.0508 * w * S *</w:t>
      </w:r>
      <w:r w:rsidR="008E41C4" w:rsidRPr="00955A67">
        <w:rPr>
          <w:rFonts w:ascii="Times New Roman" w:hAnsi="Times New Roman" w:cs="Times New Roman"/>
        </w:rPr>
        <w:t xml:space="preserve"> CFM50) – 0.02A]</w:t>
      </w:r>
    </w:p>
    <w:p w:rsidR="008E41C4" w:rsidRPr="00955A67" w:rsidRDefault="008E41C4" w:rsidP="00B04193">
      <w:pPr>
        <w:pStyle w:val="FootnoteText"/>
        <w:spacing w:after="200"/>
        <w:rPr>
          <w:rFonts w:ascii="Times New Roman" w:hAnsi="Times New Roman" w:cs="Times New Roman"/>
        </w:rPr>
      </w:pPr>
      <w:r w:rsidRPr="00955A67">
        <w:rPr>
          <w:rFonts w:ascii="Times New Roman" w:hAnsi="Times New Roman" w:cs="Times New Roman"/>
        </w:rPr>
        <w:t>Where:</w:t>
      </w:r>
    </w:p>
    <w:p w:rsidR="00000000" w:rsidRDefault="00184CD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84CD9">
        <w:rPr>
          <w:rFonts w:ascii="Times New Roman" w:hAnsi="Times New Roman" w:cs="Times New Roman"/>
          <w:sz w:val="24"/>
          <w:szCs w:val="24"/>
        </w:rPr>
        <w:t xml:space="preserve">w = Weather Factor from the ASHRAE 136 table </w:t>
      </w:r>
      <w:r w:rsidRPr="00184CD9">
        <w:rPr>
          <w:rFonts w:ascii="Times New Roman" w:hAnsi="Times New Roman" w:cs="Times New Roman"/>
          <w:i/>
          <w:sz w:val="24"/>
          <w:szCs w:val="24"/>
        </w:rPr>
        <w:t>Values of Weather Factor W for Canadian and U.S. locations.</w:t>
      </w:r>
      <w:r w:rsidRPr="00184CD9">
        <w:rPr>
          <w:rFonts w:ascii="Times New Roman" w:hAnsi="Times New Roman" w:cs="Times New Roman"/>
          <w:sz w:val="24"/>
          <w:szCs w:val="24"/>
        </w:rPr>
        <w:t xml:space="preserve"> Note: Choose the closest location.</w:t>
      </w:r>
    </w:p>
    <w:p w:rsidR="00000000" w:rsidRDefault="008E41C4">
      <w:pPr>
        <w:pStyle w:val="FootnoteText"/>
        <w:numPr>
          <w:ilvl w:val="1"/>
          <w:numId w:val="6"/>
        </w:numPr>
        <w:contextualSpacing/>
        <w:rPr>
          <w:rFonts w:ascii="Times New Roman" w:hAnsi="Times New Roman" w:cs="Times New Roman"/>
          <w:i/>
        </w:rPr>
      </w:pPr>
      <w:r w:rsidRPr="00955A67">
        <w:rPr>
          <w:rFonts w:ascii="Times New Roman" w:hAnsi="Times New Roman" w:cs="Times New Roman"/>
        </w:rPr>
        <w:t xml:space="preserve">S = the </w:t>
      </w:r>
      <w:r w:rsidR="003972A2" w:rsidRPr="00955A67">
        <w:rPr>
          <w:rFonts w:ascii="Times New Roman" w:hAnsi="Times New Roman" w:cs="Times New Roman"/>
        </w:rPr>
        <w:t xml:space="preserve">height </w:t>
      </w:r>
      <w:r w:rsidRPr="00955A67">
        <w:rPr>
          <w:rFonts w:ascii="Times New Roman" w:hAnsi="Times New Roman" w:cs="Times New Roman"/>
        </w:rPr>
        <w:t xml:space="preserve">multiplier from Table X-1. </w:t>
      </w:r>
    </w:p>
    <w:p w:rsidR="00000000" w:rsidRDefault="00184CD9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D9">
        <w:rPr>
          <w:rFonts w:ascii="Times New Roman" w:hAnsi="Times New Roman" w:cs="Times New Roman"/>
          <w:sz w:val="24"/>
          <w:szCs w:val="24"/>
        </w:rPr>
        <w:t>A = Area of the conditioned space in square feet</w:t>
      </w:r>
    </w:p>
    <w:p w:rsidR="008E41C4" w:rsidRPr="00955A67" w:rsidRDefault="008E41C4" w:rsidP="00955A67">
      <w:pPr>
        <w:pStyle w:val="FootnoteText"/>
        <w:spacing w:after="200"/>
        <w:jc w:val="center"/>
        <w:rPr>
          <w:rFonts w:ascii="Times New Roman" w:hAnsi="Times New Roman" w:cs="Times New Roman"/>
          <w:i/>
        </w:rPr>
      </w:pPr>
    </w:p>
    <w:sectPr w:rsidR="008E41C4" w:rsidRPr="00955A67" w:rsidSect="00955A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9A3" w:rsidRDefault="00E319A3" w:rsidP="008E41C4">
      <w:pPr>
        <w:spacing w:after="0" w:line="240" w:lineRule="auto"/>
      </w:pPr>
      <w:r>
        <w:separator/>
      </w:r>
    </w:p>
  </w:endnote>
  <w:endnote w:type="continuationSeparator" w:id="0">
    <w:p w:rsidR="00E319A3" w:rsidRDefault="00E319A3" w:rsidP="008E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76C" w:rsidRDefault="00A557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A67" w:rsidRPr="00A5576C" w:rsidRDefault="00A5576C" w:rsidP="00A5576C">
    <w:pPr>
      <w:pStyle w:val="FootnoteText"/>
      <w:spacing w:after="200"/>
      <w:rPr>
        <w:rFonts w:ascii="Times New Roman" w:hAnsi="Times New Roman" w:cs="Times New Roman"/>
        <w:i/>
      </w:rPr>
    </w:pPr>
    <w:r w:rsidRPr="00955A67">
      <w:rPr>
        <w:rFonts w:ascii="Times New Roman" w:hAnsi="Times New Roman" w:cs="Times New Roman"/>
        <w:i/>
      </w:rPr>
      <w:t xml:space="preserve">With thanks to Rick </w:t>
    </w:r>
    <w:proofErr w:type="spellStart"/>
    <w:r w:rsidRPr="00955A67">
      <w:rPr>
        <w:rFonts w:ascii="Times New Roman" w:hAnsi="Times New Roman" w:cs="Times New Roman"/>
        <w:i/>
      </w:rPr>
      <w:t>Karg</w:t>
    </w:r>
    <w:proofErr w:type="spellEnd"/>
    <w:r w:rsidRPr="00955A67">
      <w:rPr>
        <w:rFonts w:ascii="Times New Roman" w:hAnsi="Times New Roman" w:cs="Times New Roman"/>
        <w:i/>
      </w:rPr>
      <w:t xml:space="preserve"> and Paul Francisco for their invaluable assistance.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76C" w:rsidRDefault="00A557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9A3" w:rsidRDefault="00E319A3" w:rsidP="008E41C4">
      <w:pPr>
        <w:spacing w:after="0" w:line="240" w:lineRule="auto"/>
      </w:pPr>
      <w:r>
        <w:separator/>
      </w:r>
    </w:p>
  </w:footnote>
  <w:footnote w:type="continuationSeparator" w:id="0">
    <w:p w:rsidR="00E319A3" w:rsidRDefault="00E319A3" w:rsidP="008E41C4">
      <w:pPr>
        <w:spacing w:after="0" w:line="240" w:lineRule="auto"/>
      </w:pPr>
      <w:r>
        <w:continuationSeparator/>
      </w:r>
    </w:p>
  </w:footnote>
  <w:footnote w:id="1">
    <w:p w:rsidR="009E2E8D" w:rsidRPr="009E2E8D" w:rsidRDefault="009E2E8D">
      <w:pPr>
        <w:pStyle w:val="FootnoteText"/>
        <w:rPr>
          <w:rFonts w:ascii="Times New Roman" w:hAnsi="Times New Roman"/>
          <w:sz w:val="20"/>
        </w:rPr>
      </w:pPr>
      <w:r w:rsidRPr="009E2E8D">
        <w:rPr>
          <w:rStyle w:val="FootnoteReference"/>
          <w:rFonts w:ascii="Times New Roman" w:hAnsi="Times New Roman"/>
          <w:sz w:val="20"/>
        </w:rPr>
        <w:footnoteRef/>
      </w:r>
      <w:r w:rsidRPr="009E2E8D">
        <w:rPr>
          <w:rFonts w:ascii="Times New Roman" w:hAnsi="Times New Roman"/>
          <w:sz w:val="20"/>
        </w:rPr>
        <w:t xml:space="preserve"> If not, use the alternative compliance deficit calculation.</w:t>
      </w:r>
    </w:p>
  </w:footnote>
  <w:footnote w:id="2">
    <w:p w:rsidR="009E2E8D" w:rsidRDefault="009E2E8D">
      <w:pPr>
        <w:pStyle w:val="FootnoteText"/>
      </w:pPr>
    </w:p>
  </w:footnote>
  <w:footnote w:id="3">
    <w:p w:rsidR="00CE7313" w:rsidRDefault="00CE731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E7313">
        <w:rPr>
          <w:rFonts w:ascii="Times New Roman" w:hAnsi="Times New Roman"/>
          <w:sz w:val="20"/>
        </w:rPr>
        <w:t>When using the alternative compliance path, this sound requirement is waived for existing fans that will be used toward the whole-house rate.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76C" w:rsidRDefault="00A557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76C" w:rsidRDefault="00A5576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76C" w:rsidRDefault="00A557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94959"/>
    <w:multiLevelType w:val="hybridMultilevel"/>
    <w:tmpl w:val="15B88040"/>
    <w:lvl w:ilvl="0" w:tplc="BB7E557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C3472"/>
    <w:multiLevelType w:val="hybridMultilevel"/>
    <w:tmpl w:val="37BEC3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A5835"/>
    <w:multiLevelType w:val="hybridMultilevel"/>
    <w:tmpl w:val="4DD662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33241"/>
    <w:multiLevelType w:val="hybridMultilevel"/>
    <w:tmpl w:val="EA542AA8"/>
    <w:lvl w:ilvl="0" w:tplc="C420ABF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131FA"/>
    <w:multiLevelType w:val="hybridMultilevel"/>
    <w:tmpl w:val="027245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D7DDA"/>
    <w:multiLevelType w:val="hybridMultilevel"/>
    <w:tmpl w:val="BBD67B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1C4"/>
    <w:rsid w:val="00034B9C"/>
    <w:rsid w:val="00051F2A"/>
    <w:rsid w:val="000563EE"/>
    <w:rsid w:val="001210C0"/>
    <w:rsid w:val="00184CD9"/>
    <w:rsid w:val="001E4FE8"/>
    <w:rsid w:val="00324D4E"/>
    <w:rsid w:val="00384008"/>
    <w:rsid w:val="003972A2"/>
    <w:rsid w:val="00531199"/>
    <w:rsid w:val="00536DD0"/>
    <w:rsid w:val="00567F57"/>
    <w:rsid w:val="008259BE"/>
    <w:rsid w:val="008E41C4"/>
    <w:rsid w:val="00955A67"/>
    <w:rsid w:val="009E2E8D"/>
    <w:rsid w:val="00A5576C"/>
    <w:rsid w:val="00A91A99"/>
    <w:rsid w:val="00B04193"/>
    <w:rsid w:val="00B32030"/>
    <w:rsid w:val="00C13F9B"/>
    <w:rsid w:val="00CE7313"/>
    <w:rsid w:val="00E319A3"/>
    <w:rsid w:val="00E461AA"/>
    <w:rsid w:val="00FA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1C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E41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E41C4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41C4"/>
    <w:rPr>
      <w:rFonts w:eastAsiaTheme="minorEastAsia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E41C4"/>
    <w:rPr>
      <w:vertAlign w:val="superscript"/>
    </w:rPr>
  </w:style>
  <w:style w:type="table" w:styleId="TableGrid">
    <w:name w:val="Table Grid"/>
    <w:basedOn w:val="TableNormal"/>
    <w:uiPriority w:val="59"/>
    <w:rsid w:val="00B04193"/>
    <w:pPr>
      <w:spacing w:after="0" w:line="240" w:lineRule="auto"/>
    </w:pPr>
    <w:rPr>
      <w:rFonts w:ascii="Arial" w:eastAsia="Arial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91A9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A9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A99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A9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A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A9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A99"/>
    <w:rPr>
      <w:rFonts w:ascii="Lucida Grande" w:eastAsiaTheme="minorEastAsia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955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5A6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55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A6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A1A09830AAE478EA204D866A31047" ma:contentTypeVersion="0" ma:contentTypeDescription="Create a new document." ma:contentTypeScope="" ma:versionID="1a08bde9db4f003db5b5a7c4fde6c23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04047-A750-480B-94CC-8A75C79F5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E307915-2C98-4A39-95E5-F87845662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4AE26-47FC-4CD5-B05D-D687815D0574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47B3DE7-06E0-41DB-9797-85B428FA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</dc:creator>
  <cp:lastModifiedBy>tarwatek</cp:lastModifiedBy>
  <cp:revision>3</cp:revision>
  <dcterms:created xsi:type="dcterms:W3CDTF">2012-01-30T14:57:00Z</dcterms:created>
  <dcterms:modified xsi:type="dcterms:W3CDTF">2012-02-07T18:37:00Z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0x010100624A1A09830AAE478EA204D866A31047</vt:lpwstr>
  </property>
</Properties>
</file>