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98" w:rsidRDefault="00E60798" w:rsidP="00E60798">
      <w:pPr>
        <w:jc w:val="center"/>
        <w:rPr>
          <w:b/>
        </w:rPr>
      </w:pPr>
      <w:r w:rsidRPr="009C69F8">
        <w:rPr>
          <w:b/>
        </w:rPr>
        <w:t>Applicable Codes</w:t>
      </w:r>
      <w:r>
        <w:rPr>
          <w:b/>
        </w:rPr>
        <w:t xml:space="preserve"> Table</w:t>
      </w:r>
    </w:p>
    <w:p w:rsidR="00E60798" w:rsidRPr="008B096E" w:rsidRDefault="00E60798" w:rsidP="00E60798">
      <w:pPr>
        <w:pStyle w:val="StyleAfter0pt"/>
      </w:pP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8"/>
        <w:gridCol w:w="4140"/>
        <w:gridCol w:w="5490"/>
      </w:tblGrid>
      <w:tr w:rsidR="00E60798" w:rsidRPr="00F97AA6">
        <w:tc>
          <w:tcPr>
            <w:tcW w:w="3078" w:type="dxa"/>
            <w:tcBorders>
              <w:right w:val="single" w:sz="4" w:space="0" w:color="auto"/>
            </w:tcBorders>
          </w:tcPr>
          <w:p w:rsidR="00E60798" w:rsidRPr="00E81E1C" w:rsidRDefault="00E60798" w:rsidP="00E60798">
            <w:pPr>
              <w:spacing w:after="0"/>
              <w:jc w:val="center"/>
              <w:rPr>
                <w:b/>
              </w:rPr>
            </w:pPr>
            <w:r>
              <w:rPr>
                <w:b/>
              </w:rPr>
              <w:t>Broad Issue Faced by Installer</w:t>
            </w:r>
          </w:p>
        </w:tc>
        <w:tc>
          <w:tcPr>
            <w:tcW w:w="4140" w:type="dxa"/>
          </w:tcPr>
          <w:p w:rsidR="00E60798" w:rsidRPr="00E81E1C" w:rsidRDefault="00E60798" w:rsidP="00741FB1">
            <w:pPr>
              <w:spacing w:after="0"/>
              <w:jc w:val="center"/>
              <w:rPr>
                <w:b/>
              </w:rPr>
            </w:pPr>
            <w:r>
              <w:rPr>
                <w:b/>
              </w:rPr>
              <w:t xml:space="preserve">Applicable </w:t>
            </w:r>
            <w:r w:rsidRPr="00E81E1C">
              <w:rPr>
                <w:b/>
              </w:rPr>
              <w:t>Code</w:t>
            </w:r>
          </w:p>
        </w:tc>
        <w:tc>
          <w:tcPr>
            <w:tcW w:w="5490" w:type="dxa"/>
          </w:tcPr>
          <w:p w:rsidR="00E60798" w:rsidRPr="00E81E1C" w:rsidRDefault="00E60798" w:rsidP="00741FB1">
            <w:pPr>
              <w:spacing w:after="0"/>
              <w:jc w:val="center"/>
              <w:rPr>
                <w:b/>
              </w:rPr>
            </w:pPr>
            <w:r>
              <w:rPr>
                <w:b/>
              </w:rPr>
              <w:t xml:space="preserve">What </w:t>
            </w:r>
            <w:r w:rsidR="00741FB1">
              <w:rPr>
                <w:b/>
              </w:rPr>
              <w:t xml:space="preserve">It </w:t>
            </w:r>
            <w:r>
              <w:rPr>
                <w:b/>
              </w:rPr>
              <w:t>Says</w:t>
            </w:r>
          </w:p>
        </w:tc>
      </w:tr>
      <w:tr w:rsidR="00E60798" w:rsidRPr="00F97AA6">
        <w:tc>
          <w:tcPr>
            <w:tcW w:w="3078" w:type="dxa"/>
            <w:tcBorders>
              <w:right w:val="single" w:sz="4" w:space="0" w:color="auto"/>
            </w:tcBorders>
          </w:tcPr>
          <w:p w:rsidR="00E60798" w:rsidRPr="00F97AA6" w:rsidRDefault="00E60798" w:rsidP="00E60798">
            <w:r>
              <w:t>I</w:t>
            </w:r>
            <w:r w:rsidRPr="00F97AA6">
              <w:t xml:space="preserve">nsulating over </w:t>
            </w:r>
            <w:r>
              <w:t>knob and tube wiring</w:t>
            </w:r>
          </w:p>
        </w:tc>
        <w:tc>
          <w:tcPr>
            <w:tcW w:w="4140" w:type="dxa"/>
          </w:tcPr>
          <w:p w:rsidR="00E60798" w:rsidRPr="00F97AA6" w:rsidRDefault="00E60798" w:rsidP="00E60798">
            <w:r>
              <w:t>08 NEC 394.12</w:t>
            </w:r>
          </w:p>
        </w:tc>
        <w:tc>
          <w:tcPr>
            <w:tcW w:w="5490" w:type="dxa"/>
          </w:tcPr>
          <w:p w:rsidR="00E60798" w:rsidRPr="009C69F8" w:rsidRDefault="00E60798" w:rsidP="00E60798">
            <w:pPr>
              <w:pStyle w:val="StyleAfter0pt"/>
            </w:pPr>
            <w:r>
              <w:t>Do not envelop knob and tube wiring with thermal insulation.</w:t>
            </w:r>
          </w:p>
        </w:tc>
      </w:tr>
      <w:tr w:rsidR="00E60798" w:rsidRPr="00F97AA6">
        <w:trPr>
          <w:trHeight w:val="990"/>
        </w:trPr>
        <w:tc>
          <w:tcPr>
            <w:tcW w:w="3078" w:type="dxa"/>
          </w:tcPr>
          <w:p w:rsidR="00E60798" w:rsidRPr="00F97AA6" w:rsidRDefault="00E60798" w:rsidP="00E60798">
            <w:r>
              <w:t>Ensuring proper c</w:t>
            </w:r>
            <w:r w:rsidRPr="00F97AA6">
              <w:t xml:space="preserve">learance </w:t>
            </w:r>
            <w:r>
              <w:t xml:space="preserve">from high-temp vents </w:t>
            </w:r>
            <w:r w:rsidRPr="00F97AA6">
              <w:t xml:space="preserve">to combustibles </w:t>
            </w:r>
          </w:p>
        </w:tc>
        <w:tc>
          <w:tcPr>
            <w:tcW w:w="4140" w:type="dxa"/>
          </w:tcPr>
          <w:p w:rsidR="00E60798" w:rsidRPr="00187E60" w:rsidRDefault="00E60798" w:rsidP="00E60798">
            <w:r w:rsidRPr="00187E60">
              <w:t>NFPA 54 - National Fuel Gas Code: Table 10.7.4.4 Clearance for Connectors. </w:t>
            </w:r>
          </w:p>
        </w:tc>
        <w:tc>
          <w:tcPr>
            <w:tcW w:w="5490" w:type="dxa"/>
          </w:tcPr>
          <w:p w:rsidR="00E60798" w:rsidRPr="009C69F8" w:rsidRDefault="00E60798" w:rsidP="00E60798">
            <w:pPr>
              <w:pStyle w:val="StyleAfter0pt"/>
            </w:pPr>
            <w:r>
              <w:t>Table designates required clearance for various vent types.</w:t>
            </w:r>
          </w:p>
        </w:tc>
      </w:tr>
      <w:tr w:rsidR="00E60798" w:rsidRPr="00F97AA6">
        <w:trPr>
          <w:trHeight w:val="530"/>
        </w:trPr>
        <w:tc>
          <w:tcPr>
            <w:tcW w:w="3078" w:type="dxa"/>
            <w:vMerge w:val="restart"/>
          </w:tcPr>
          <w:p w:rsidR="00E60798" w:rsidRDefault="00E60798" w:rsidP="00E60798">
            <w:r>
              <w:t>R</w:t>
            </w:r>
            <w:r w:rsidRPr="00F97AA6">
              <w:t>eplacing doors/windows</w:t>
            </w:r>
            <w:r>
              <w:t xml:space="preserve">: egress </w:t>
            </w:r>
          </w:p>
        </w:tc>
        <w:tc>
          <w:tcPr>
            <w:tcW w:w="4140" w:type="dxa"/>
          </w:tcPr>
          <w:p w:rsidR="00E60798" w:rsidRDefault="00E60798" w:rsidP="00E60798">
            <w:r>
              <w:t>06 &amp; 09 IRC 301.1.2 &amp; 3</w:t>
            </w:r>
          </w:p>
        </w:tc>
        <w:tc>
          <w:tcPr>
            <w:tcW w:w="5490" w:type="dxa"/>
            <w:shd w:val="clear" w:color="auto" w:fill="auto"/>
          </w:tcPr>
          <w:p w:rsidR="00E60798" w:rsidRPr="009C69F8" w:rsidRDefault="00E60798" w:rsidP="00E60798">
            <w:pPr>
              <w:pStyle w:val="MediumGrid1-Accent21"/>
              <w:numPr>
                <w:ilvl w:val="0"/>
                <w:numId w:val="0"/>
              </w:numPr>
            </w:pPr>
            <w:r>
              <w:t>Minimum 20 in. wide and 24 in. high, 5.7 sq. ft. clear opening</w:t>
            </w:r>
            <w:r>
              <w:rPr>
                <w:rStyle w:val="FootnoteReference"/>
              </w:rPr>
              <w:footnoteReference w:id="1"/>
            </w:r>
            <w:r>
              <w:t xml:space="preserve"> area UNLESS…(see below)</w:t>
            </w:r>
          </w:p>
        </w:tc>
      </w:tr>
      <w:tr w:rsidR="00E60798" w:rsidRPr="00F97AA6">
        <w:trPr>
          <w:trHeight w:val="400"/>
        </w:trPr>
        <w:tc>
          <w:tcPr>
            <w:tcW w:w="3078" w:type="dxa"/>
            <w:vMerge/>
          </w:tcPr>
          <w:p w:rsidR="00E60798" w:rsidRDefault="00E60798" w:rsidP="00E60798"/>
        </w:tc>
        <w:tc>
          <w:tcPr>
            <w:tcW w:w="4140" w:type="dxa"/>
          </w:tcPr>
          <w:p w:rsidR="00E60798" w:rsidRDefault="00E60798" w:rsidP="00E60798">
            <w:r>
              <w:t>06 &amp; 09 IRC</w:t>
            </w:r>
          </w:p>
        </w:tc>
        <w:tc>
          <w:tcPr>
            <w:tcW w:w="5490" w:type="dxa"/>
            <w:shd w:val="clear" w:color="auto" w:fill="auto"/>
          </w:tcPr>
          <w:p w:rsidR="00E60798" w:rsidRDefault="00E60798" w:rsidP="00E60798">
            <w:pPr>
              <w:pStyle w:val="MediumGrid1-Accent21"/>
              <w:numPr>
                <w:ilvl w:val="0"/>
                <w:numId w:val="0"/>
              </w:numPr>
            </w:pPr>
            <w:r>
              <w:t>…5.0 sq. ft. clear opening okay with direct grade-level access.</w:t>
            </w:r>
          </w:p>
        </w:tc>
      </w:tr>
      <w:tr w:rsidR="00E60798" w:rsidRPr="00F97AA6">
        <w:trPr>
          <w:trHeight w:val="400"/>
        </w:trPr>
        <w:tc>
          <w:tcPr>
            <w:tcW w:w="3078" w:type="dxa"/>
            <w:vMerge/>
          </w:tcPr>
          <w:p w:rsidR="00E60798" w:rsidRDefault="00E60798" w:rsidP="00E60798"/>
        </w:tc>
        <w:tc>
          <w:tcPr>
            <w:tcW w:w="4140" w:type="dxa"/>
          </w:tcPr>
          <w:p w:rsidR="00E60798" w:rsidRPr="00833B3F" w:rsidRDefault="00E60798" w:rsidP="00E60798">
            <w:r>
              <w:t>06 IRC 311.4.4 &amp; 09 IRC 311.2</w:t>
            </w:r>
          </w:p>
        </w:tc>
        <w:tc>
          <w:tcPr>
            <w:tcW w:w="5490" w:type="dxa"/>
            <w:shd w:val="clear" w:color="auto" w:fill="auto"/>
          </w:tcPr>
          <w:p w:rsidR="00E60798" w:rsidRDefault="00E60798" w:rsidP="00E60798">
            <w:pPr>
              <w:pStyle w:val="MediumGrid1-Accent21"/>
              <w:numPr>
                <w:ilvl w:val="0"/>
                <w:numId w:val="0"/>
              </w:numPr>
            </w:pPr>
            <w:r>
              <w:t>All egress doors require keyless operation from interior.</w:t>
            </w:r>
          </w:p>
        </w:tc>
      </w:tr>
      <w:tr w:rsidR="00E60798" w:rsidRPr="00F97AA6">
        <w:trPr>
          <w:trHeight w:val="400"/>
        </w:trPr>
        <w:tc>
          <w:tcPr>
            <w:tcW w:w="3078" w:type="dxa"/>
            <w:vMerge w:val="restart"/>
            <w:tcBorders>
              <w:right w:val="single" w:sz="4" w:space="0" w:color="auto"/>
            </w:tcBorders>
          </w:tcPr>
          <w:p w:rsidR="00E60798" w:rsidRPr="00F97AA6" w:rsidRDefault="00E60798" w:rsidP="00E60798">
            <w:r>
              <w:t>Adding required v</w:t>
            </w:r>
            <w:r w:rsidRPr="00F97AA6">
              <w:t>entilation</w:t>
            </w:r>
            <w:r>
              <w:rPr>
                <w:rStyle w:val="FootnoteReference"/>
              </w:rPr>
              <w:footnoteReference w:id="2"/>
            </w:r>
            <w:r w:rsidRPr="00F97AA6">
              <w:t xml:space="preserve"> </w:t>
            </w:r>
          </w:p>
        </w:tc>
        <w:tc>
          <w:tcPr>
            <w:tcW w:w="4140" w:type="dxa"/>
          </w:tcPr>
          <w:p w:rsidR="00E60798" w:rsidRPr="00F97AA6" w:rsidRDefault="00E60798" w:rsidP="00E60798">
            <w:r>
              <w:t>ASHRAE 62.1 or</w:t>
            </w:r>
            <w:r w:rsidRPr="00F97AA6">
              <w:t xml:space="preserve"> </w:t>
            </w:r>
          </w:p>
        </w:tc>
        <w:tc>
          <w:tcPr>
            <w:tcW w:w="5490" w:type="dxa"/>
            <w:shd w:val="clear" w:color="auto" w:fill="auto"/>
          </w:tcPr>
          <w:p w:rsidR="00E60798" w:rsidRPr="009C69F8" w:rsidRDefault="00E60798" w:rsidP="00E60798">
            <w:pPr>
              <w:pStyle w:val="StyleAfter0pt"/>
            </w:pPr>
            <w:r>
              <w:t>15 CFM/person natural, 0.35 ACH</w:t>
            </w:r>
          </w:p>
        </w:tc>
      </w:tr>
      <w:tr w:rsidR="00E60798" w:rsidRPr="00F97AA6">
        <w:trPr>
          <w:trHeight w:val="400"/>
        </w:trPr>
        <w:tc>
          <w:tcPr>
            <w:tcW w:w="3078" w:type="dxa"/>
            <w:vMerge/>
            <w:tcBorders>
              <w:right w:val="single" w:sz="4" w:space="0" w:color="auto"/>
            </w:tcBorders>
          </w:tcPr>
          <w:p w:rsidR="00E60798" w:rsidRDefault="00E60798" w:rsidP="00E60798"/>
        </w:tc>
        <w:tc>
          <w:tcPr>
            <w:tcW w:w="4140" w:type="dxa"/>
          </w:tcPr>
          <w:p w:rsidR="00E60798" w:rsidRDefault="00E60798" w:rsidP="00E60798">
            <w:r w:rsidRPr="00F97AA6">
              <w:t xml:space="preserve">ASHRAE </w:t>
            </w:r>
            <w:r>
              <w:t>62.</w:t>
            </w:r>
            <w:r w:rsidRPr="00F97AA6">
              <w:t xml:space="preserve">2 </w:t>
            </w:r>
          </w:p>
        </w:tc>
        <w:tc>
          <w:tcPr>
            <w:tcW w:w="5490" w:type="dxa"/>
            <w:shd w:val="clear" w:color="auto" w:fill="auto"/>
          </w:tcPr>
          <w:p w:rsidR="00E60798" w:rsidRPr="009C69F8" w:rsidRDefault="00E60798" w:rsidP="00E60798">
            <w:pPr>
              <w:pStyle w:val="StyleAfter0pt"/>
            </w:pPr>
            <w:r>
              <w:t>7.5 CFM/person plus 1 CFM/100 sq. ft. mechanical ventilation</w:t>
            </w:r>
          </w:p>
        </w:tc>
      </w:tr>
      <w:tr w:rsidR="00E60798" w:rsidRPr="00F97AA6">
        <w:tc>
          <w:tcPr>
            <w:tcW w:w="3078" w:type="dxa"/>
            <w:tcBorders>
              <w:right w:val="single" w:sz="4" w:space="0" w:color="auto"/>
            </w:tcBorders>
          </w:tcPr>
          <w:p w:rsidR="00E60798" w:rsidRPr="00F97AA6" w:rsidRDefault="00E60798" w:rsidP="00E60798">
            <w:r>
              <w:t xml:space="preserve">Ensuring indoor air quality/ conducting </w:t>
            </w:r>
            <w:r w:rsidRPr="009C69F8">
              <w:t xml:space="preserve">Combustion Appliance Zone testing </w:t>
            </w:r>
          </w:p>
        </w:tc>
        <w:tc>
          <w:tcPr>
            <w:tcW w:w="4140" w:type="dxa"/>
          </w:tcPr>
          <w:p w:rsidR="00E60798" w:rsidRPr="009C69F8" w:rsidRDefault="00E60798" w:rsidP="00E60798">
            <w:r>
              <w:t>Refer to your</w:t>
            </w:r>
            <w:r w:rsidRPr="00F97AA6">
              <w:t xml:space="preserve"> (trainer-supplied) State Technical Manual and/or (trainer-</w:t>
            </w:r>
            <w:r w:rsidRPr="00E81E1C">
              <w:t xml:space="preserve">supplied) </w:t>
            </w:r>
            <w:r>
              <w:t xml:space="preserve">State or regional </w:t>
            </w:r>
            <w:r>
              <w:lastRenderedPageBreak/>
              <w:t>Weatherization Field Guide</w:t>
            </w:r>
          </w:p>
        </w:tc>
        <w:tc>
          <w:tcPr>
            <w:tcW w:w="5490" w:type="dxa"/>
          </w:tcPr>
          <w:p w:rsidR="00E60798" w:rsidRDefault="00E60798" w:rsidP="00E60798"/>
        </w:tc>
      </w:tr>
      <w:tr w:rsidR="00E60798" w:rsidRPr="00F97AA6">
        <w:trPr>
          <w:trHeight w:val="335"/>
        </w:trPr>
        <w:tc>
          <w:tcPr>
            <w:tcW w:w="3078" w:type="dxa"/>
            <w:vMerge w:val="restart"/>
            <w:tcBorders>
              <w:right w:val="single" w:sz="4" w:space="0" w:color="auto"/>
            </w:tcBorders>
          </w:tcPr>
          <w:p w:rsidR="00E60798" w:rsidRPr="00F97AA6" w:rsidRDefault="00E60798" w:rsidP="00E60798">
            <w:r>
              <w:lastRenderedPageBreak/>
              <w:t xml:space="preserve">Replacing water heater </w:t>
            </w:r>
          </w:p>
        </w:tc>
        <w:tc>
          <w:tcPr>
            <w:tcW w:w="4140" w:type="dxa"/>
            <w:shd w:val="clear" w:color="auto" w:fill="auto"/>
          </w:tcPr>
          <w:p w:rsidR="00E60798" w:rsidRPr="00F97AA6" w:rsidRDefault="00E60798" w:rsidP="00E60798">
            <w:r>
              <w:t xml:space="preserve">09 IRC 2005.2 &amp; 2406.2 </w:t>
            </w:r>
          </w:p>
        </w:tc>
        <w:tc>
          <w:tcPr>
            <w:tcW w:w="5490" w:type="dxa"/>
          </w:tcPr>
          <w:p w:rsidR="00E60798" w:rsidRPr="009C69F8" w:rsidRDefault="00E60798" w:rsidP="00E60798">
            <w:pPr>
              <w:pStyle w:val="StyleAfter0pt"/>
            </w:pPr>
            <w:r>
              <w:t>Fuel-fired WH prohibited in storage closets.</w:t>
            </w:r>
          </w:p>
        </w:tc>
      </w:tr>
      <w:tr w:rsidR="00E60798" w:rsidRPr="00F97AA6">
        <w:trPr>
          <w:trHeight w:val="335"/>
        </w:trPr>
        <w:tc>
          <w:tcPr>
            <w:tcW w:w="3078" w:type="dxa"/>
            <w:vMerge/>
            <w:tcBorders>
              <w:right w:val="single" w:sz="4" w:space="0" w:color="auto"/>
            </w:tcBorders>
          </w:tcPr>
          <w:p w:rsidR="00E60798" w:rsidRDefault="00E60798" w:rsidP="00E60798"/>
        </w:tc>
        <w:tc>
          <w:tcPr>
            <w:tcW w:w="4140" w:type="dxa"/>
            <w:shd w:val="clear" w:color="auto" w:fill="auto"/>
          </w:tcPr>
          <w:p w:rsidR="00E60798" w:rsidRDefault="00E60798" w:rsidP="00E60798">
            <w:r>
              <w:t xml:space="preserve">09 IRC 2005.2 &amp; 2406.2 and </w:t>
            </w:r>
          </w:p>
          <w:p w:rsidR="00E60798" w:rsidRDefault="00E60798" w:rsidP="00E60798">
            <w:r>
              <w:t xml:space="preserve">09 UPC 505.1 </w:t>
            </w:r>
          </w:p>
        </w:tc>
        <w:tc>
          <w:tcPr>
            <w:tcW w:w="5490" w:type="dxa"/>
          </w:tcPr>
          <w:p w:rsidR="00E60798" w:rsidRPr="009C69F8" w:rsidRDefault="00E60798" w:rsidP="00E60798">
            <w:pPr>
              <w:pStyle w:val="StyleAfter0pt"/>
            </w:pPr>
            <w:r>
              <w:t>Fuel-fired WH prohibited in bedroom, bathroom, or their closets UNLESS WH is a direct-vent type OR separated by a weatherstripped, self-closing door with all combustion air coming from outside.</w:t>
            </w:r>
          </w:p>
        </w:tc>
      </w:tr>
      <w:tr w:rsidR="00E60798" w:rsidRPr="00F97AA6">
        <w:trPr>
          <w:trHeight w:val="335"/>
        </w:trPr>
        <w:tc>
          <w:tcPr>
            <w:tcW w:w="3078" w:type="dxa"/>
            <w:vMerge/>
            <w:tcBorders>
              <w:right w:val="single" w:sz="4" w:space="0" w:color="auto"/>
            </w:tcBorders>
          </w:tcPr>
          <w:p w:rsidR="00E60798" w:rsidRDefault="00E60798" w:rsidP="00E60798"/>
        </w:tc>
        <w:tc>
          <w:tcPr>
            <w:tcW w:w="4140" w:type="dxa"/>
            <w:shd w:val="clear" w:color="auto" w:fill="auto"/>
          </w:tcPr>
          <w:p w:rsidR="00E60798" w:rsidRDefault="00E60798" w:rsidP="00E60798">
            <w:r>
              <w:t>09 IRC 2005.1 and</w:t>
            </w:r>
          </w:p>
          <w:p w:rsidR="00E60798" w:rsidRDefault="00E60798" w:rsidP="00E60798">
            <w:r>
              <w:t>09 UPC 508.27</w:t>
            </w:r>
          </w:p>
        </w:tc>
        <w:tc>
          <w:tcPr>
            <w:tcW w:w="5490" w:type="dxa"/>
          </w:tcPr>
          <w:p w:rsidR="00E60798" w:rsidRPr="009C69F8" w:rsidRDefault="00E60798" w:rsidP="00E60798">
            <w:pPr>
              <w:pStyle w:val="StyleAfter0pt"/>
            </w:pPr>
            <w:r>
              <w:t>Outdoor enclosure required unless WH listed for outdoors.</w:t>
            </w:r>
          </w:p>
        </w:tc>
      </w:tr>
      <w:tr w:rsidR="00E60798" w:rsidRPr="00F97AA6">
        <w:trPr>
          <w:trHeight w:val="335"/>
        </w:trPr>
        <w:tc>
          <w:tcPr>
            <w:tcW w:w="3078" w:type="dxa"/>
            <w:vMerge/>
            <w:tcBorders>
              <w:right w:val="single" w:sz="4" w:space="0" w:color="auto"/>
            </w:tcBorders>
          </w:tcPr>
          <w:p w:rsidR="00E60798" w:rsidRDefault="00E60798" w:rsidP="00E60798"/>
        </w:tc>
        <w:tc>
          <w:tcPr>
            <w:tcW w:w="4140" w:type="dxa"/>
            <w:shd w:val="clear" w:color="auto" w:fill="auto"/>
          </w:tcPr>
          <w:p w:rsidR="00E60798" w:rsidRDefault="00E60798" w:rsidP="00E60798">
            <w:r>
              <w:t>09 IRC 1305.1 and</w:t>
            </w:r>
          </w:p>
          <w:p w:rsidR="00E60798" w:rsidRDefault="00E60798" w:rsidP="00E60798">
            <w:r>
              <w:t xml:space="preserve">UMC </w:t>
            </w:r>
          </w:p>
        </w:tc>
        <w:tc>
          <w:tcPr>
            <w:tcW w:w="5490" w:type="dxa"/>
          </w:tcPr>
          <w:p w:rsidR="00E60798" w:rsidRPr="009C69F8" w:rsidRDefault="00E60798" w:rsidP="00E60798">
            <w:pPr>
              <w:pStyle w:val="StyleAfter0pt"/>
            </w:pPr>
            <w:r>
              <w:t>Minimum 30 in. working space in front; must be able to inspect or remove WH.</w:t>
            </w:r>
          </w:p>
        </w:tc>
      </w:tr>
      <w:tr w:rsidR="00E60798" w:rsidRPr="00F97AA6">
        <w:trPr>
          <w:trHeight w:val="269"/>
        </w:trPr>
        <w:tc>
          <w:tcPr>
            <w:tcW w:w="3078" w:type="dxa"/>
            <w:tcBorders>
              <w:right w:val="single" w:sz="4" w:space="0" w:color="auto"/>
            </w:tcBorders>
          </w:tcPr>
          <w:p w:rsidR="00E60798" w:rsidRPr="00F97AA6" w:rsidRDefault="00E60798" w:rsidP="00E60798">
            <w:r>
              <w:t>Replacing attic hatch</w:t>
            </w:r>
          </w:p>
        </w:tc>
        <w:tc>
          <w:tcPr>
            <w:tcW w:w="4140" w:type="dxa"/>
          </w:tcPr>
          <w:p w:rsidR="00E60798" w:rsidRPr="00F97AA6" w:rsidRDefault="00E60798" w:rsidP="00E60798">
            <w:r>
              <w:t>06 &amp; 09 IRC 807.1</w:t>
            </w:r>
          </w:p>
        </w:tc>
        <w:tc>
          <w:tcPr>
            <w:tcW w:w="5490" w:type="dxa"/>
          </w:tcPr>
          <w:p w:rsidR="00E60798" w:rsidRPr="009C69F8" w:rsidRDefault="00E60798" w:rsidP="00E60798">
            <w:pPr>
              <w:pStyle w:val="StyleAfter0pt"/>
            </w:pPr>
            <w:r>
              <w:t>Rough opening minimum 22 in. x 30 in.</w:t>
            </w:r>
          </w:p>
        </w:tc>
      </w:tr>
      <w:tr w:rsidR="00E60798" w:rsidRPr="00F97AA6">
        <w:trPr>
          <w:trHeight w:val="269"/>
        </w:trPr>
        <w:tc>
          <w:tcPr>
            <w:tcW w:w="3078" w:type="dxa"/>
            <w:tcBorders>
              <w:right w:val="single" w:sz="4" w:space="0" w:color="auto"/>
            </w:tcBorders>
          </w:tcPr>
          <w:p w:rsidR="00E60798" w:rsidRPr="00F97AA6" w:rsidRDefault="00E60798" w:rsidP="00E60798">
            <w:r>
              <w:t>Installing new exhaust fan</w:t>
            </w:r>
          </w:p>
        </w:tc>
        <w:tc>
          <w:tcPr>
            <w:tcW w:w="4140" w:type="dxa"/>
          </w:tcPr>
          <w:p w:rsidR="00E60798" w:rsidRDefault="00E60798" w:rsidP="00E60798">
            <w:r>
              <w:t>09 IRC 2407.4 and</w:t>
            </w:r>
          </w:p>
          <w:p w:rsidR="00E60798" w:rsidRPr="00F97AA6" w:rsidRDefault="00E60798" w:rsidP="00E60798">
            <w:r>
              <w:t>09 UMC 701.1.4</w:t>
            </w:r>
          </w:p>
        </w:tc>
        <w:tc>
          <w:tcPr>
            <w:tcW w:w="5490" w:type="dxa"/>
          </w:tcPr>
          <w:p w:rsidR="00E60798" w:rsidRPr="009C69F8" w:rsidRDefault="00E60798" w:rsidP="00E60798">
            <w:pPr>
              <w:pStyle w:val="StyleAfter0pt"/>
            </w:pPr>
            <w:r>
              <w:t>Provide make-up air to offset exhaust fans (kitchen, bath).</w:t>
            </w:r>
          </w:p>
        </w:tc>
      </w:tr>
      <w:tr w:rsidR="00E60798" w:rsidRPr="00F97AA6">
        <w:trPr>
          <w:trHeight w:val="269"/>
        </w:trPr>
        <w:tc>
          <w:tcPr>
            <w:tcW w:w="3078" w:type="dxa"/>
            <w:tcBorders>
              <w:right w:val="single" w:sz="4" w:space="0" w:color="auto"/>
            </w:tcBorders>
          </w:tcPr>
          <w:p w:rsidR="00E60798" w:rsidRDefault="00E60798" w:rsidP="00E60798">
            <w:r>
              <w:t>Installing new range hood ducts and exhaust</w:t>
            </w:r>
          </w:p>
        </w:tc>
        <w:tc>
          <w:tcPr>
            <w:tcW w:w="4140" w:type="dxa"/>
          </w:tcPr>
          <w:p w:rsidR="00E60798" w:rsidRDefault="00E60798" w:rsidP="00E60798">
            <w:r>
              <w:t>09 IRC 1503.4</w:t>
            </w:r>
          </w:p>
        </w:tc>
        <w:tc>
          <w:tcPr>
            <w:tcW w:w="5490" w:type="dxa"/>
          </w:tcPr>
          <w:p w:rsidR="00E60798" w:rsidRDefault="00E60798" w:rsidP="00E60798">
            <w:pPr>
              <w:pStyle w:val="StyleAfter0pt"/>
            </w:pPr>
            <w:r>
              <w:t>Provide make-up air if the exhaust system is greater than 400 CFM.</w:t>
            </w:r>
          </w:p>
        </w:tc>
      </w:tr>
      <w:tr w:rsidR="00E60798" w:rsidRPr="00F97AA6">
        <w:trPr>
          <w:trHeight w:val="269"/>
        </w:trPr>
        <w:tc>
          <w:tcPr>
            <w:tcW w:w="3078" w:type="dxa"/>
            <w:tcBorders>
              <w:right w:val="single" w:sz="4" w:space="0" w:color="auto"/>
            </w:tcBorders>
          </w:tcPr>
          <w:p w:rsidR="00E60798" w:rsidRPr="00F97AA6" w:rsidRDefault="00E60798" w:rsidP="00E60798">
            <w:r>
              <w:t>Venting dryer exhaust to outdoors</w:t>
            </w:r>
          </w:p>
        </w:tc>
        <w:tc>
          <w:tcPr>
            <w:tcW w:w="4140" w:type="dxa"/>
          </w:tcPr>
          <w:p w:rsidR="00E60798" w:rsidRDefault="00E60798" w:rsidP="00E60798">
            <w:r>
              <w:t>09 IRC 1502.4.2 (electric) or 2439.5.1 (gas) and</w:t>
            </w:r>
          </w:p>
          <w:p w:rsidR="00E60798" w:rsidRPr="00F97AA6" w:rsidRDefault="00E60798" w:rsidP="00E60798">
            <w:r>
              <w:t>09 UMC 504.3.2.1 (electric) or 905.4B (gas)</w:t>
            </w:r>
          </w:p>
        </w:tc>
        <w:tc>
          <w:tcPr>
            <w:tcW w:w="5490" w:type="dxa"/>
          </w:tcPr>
          <w:p w:rsidR="00E60798" w:rsidRPr="009C69F8" w:rsidRDefault="00E60798" w:rsidP="00E60798">
            <w:pPr>
              <w:pStyle w:val="StyleAfter0pt"/>
            </w:pPr>
            <w:r>
              <w:t>Ducts must be smooth metal with no screws in air flow.</w:t>
            </w:r>
          </w:p>
        </w:tc>
      </w:tr>
    </w:tbl>
    <w:p w:rsidR="00E60798" w:rsidRDefault="00E60798" w:rsidP="00E60798">
      <w:pPr>
        <w:rPr>
          <w:b/>
        </w:rPr>
      </w:pPr>
    </w:p>
    <w:p w:rsidR="00E60798" w:rsidRPr="00664A36" w:rsidRDefault="00E60798" w:rsidP="00E60798">
      <w:pPr>
        <w:rPr>
          <w:b/>
        </w:rPr>
      </w:pPr>
      <w:r>
        <w:rPr>
          <w:b/>
        </w:rPr>
        <w:br w:type="page"/>
      </w:r>
      <w:r>
        <w:rPr>
          <w:b/>
        </w:rPr>
        <w:lastRenderedPageBreak/>
        <w:t xml:space="preserve">Abbreviations, </w:t>
      </w:r>
      <w:r w:rsidRPr="00664A36">
        <w:rPr>
          <w:b/>
        </w:rPr>
        <w:t>notes on code organizations</w:t>
      </w:r>
      <w:r>
        <w:rPr>
          <w:b/>
        </w:rPr>
        <w:t>,</w:t>
      </w:r>
      <w:r w:rsidRPr="00664A36">
        <w:rPr>
          <w:b/>
        </w:rPr>
        <w:t xml:space="preserve"> and where to find the applicable codes:</w:t>
      </w:r>
    </w:p>
    <w:p w:rsidR="00E60798" w:rsidRDefault="00E60798" w:rsidP="00E60798">
      <w:pPr>
        <w:pStyle w:val="FootnoteText"/>
      </w:pPr>
      <w:r w:rsidRPr="00793AC7">
        <w:t xml:space="preserve">ASHRAE – The American Society of Heating, Refrigerating, and Air-Conditioning Engineers develops </w:t>
      </w:r>
      <w:r w:rsidRPr="002D5B02">
        <w:t>standards for those concerned with refrigeration processes and the design and maintenance of indoor environments.</w:t>
      </w:r>
      <w:r>
        <w:t xml:space="preserve"> Codes are a</w:t>
      </w:r>
      <w:r w:rsidRPr="009C69F8">
        <w:t>vailable for purchase at</w:t>
      </w:r>
      <w:r w:rsidRPr="00F97AA6">
        <w:t xml:space="preserve"> </w:t>
      </w:r>
      <w:r w:rsidRPr="00793AC7">
        <w:t>www.ashrae.org</w:t>
      </w:r>
      <w:r>
        <w:t>.</w:t>
      </w:r>
    </w:p>
    <w:p w:rsidR="00E60798" w:rsidRDefault="00E60798" w:rsidP="00E60798">
      <w:pPr>
        <w:pStyle w:val="FootnoteText"/>
      </w:pPr>
      <w:r>
        <w:t>IAPMO – The International Association of Plumbing and Mechanical Officials works</w:t>
      </w:r>
      <w:r w:rsidRPr="00664A36">
        <w:t xml:space="preserve"> with government and industry to implement comprehensive plumbing and mechanical systems around the world.</w:t>
      </w:r>
      <w:r>
        <w:t xml:space="preserve"> Codes are available for purchase at </w:t>
      </w:r>
      <w:r w:rsidRPr="00664A36">
        <w:t>http://www.iapmo.org</w:t>
      </w:r>
      <w:r>
        <w:t>.</w:t>
      </w:r>
    </w:p>
    <w:p w:rsidR="00E60798" w:rsidRDefault="00E60798" w:rsidP="00E60798">
      <w:pPr>
        <w:pStyle w:val="FootnoteText"/>
      </w:pPr>
      <w:r>
        <w:t>ICC – The International Code Council’s codes</w:t>
      </w:r>
      <w:r w:rsidRPr="00793AC7">
        <w:t xml:space="preserve"> </w:t>
      </w:r>
      <w:r>
        <w:t>(</w:t>
      </w:r>
      <w:r w:rsidRPr="00793AC7">
        <w:t>I-Codes</w:t>
      </w:r>
      <w:r>
        <w:t>)</w:t>
      </w:r>
      <w:r w:rsidRPr="00793AC7">
        <w:t xml:space="preserve"> provide minimum safeguards for people at home, at school, and in the workplace. The I-Codes are a complete set of comprehensive, coordinated building safety and fire prevention codes. </w:t>
      </w:r>
      <w:r>
        <w:t>Codes are a</w:t>
      </w:r>
      <w:r w:rsidRPr="009C69F8">
        <w:t>vailable for purchase at</w:t>
      </w:r>
      <w:r>
        <w:t xml:space="preserve"> </w:t>
      </w:r>
      <w:r w:rsidRPr="00793AC7">
        <w:t>www.intlcode.org</w:t>
      </w:r>
      <w:r>
        <w:t>.</w:t>
      </w:r>
    </w:p>
    <w:p w:rsidR="00E60798" w:rsidRPr="00ED4633" w:rsidRDefault="00E60798" w:rsidP="00E60798">
      <w:r w:rsidRPr="00ED4633">
        <w:t>IRC – International Residential Code</w:t>
      </w:r>
      <w:r w:rsidR="006D5D75">
        <w:t xml:space="preserve"> is </w:t>
      </w:r>
      <w:r w:rsidR="00FA73A7" w:rsidRPr="00FA73A7">
        <w:rPr>
          <w:color w:val="000000"/>
        </w:rPr>
        <w:t>a comprehensive, stand-alone residential code for one- and two-family dwellings of three stories or less.</w:t>
      </w:r>
      <w:r>
        <w:t xml:space="preserve"> (See </w:t>
      </w:r>
      <w:r w:rsidR="006D5D75">
        <w:t xml:space="preserve">also </w:t>
      </w:r>
      <w:r>
        <w:t>ICC)</w:t>
      </w:r>
      <w:r w:rsidRPr="00ED4633">
        <w:t>. 09 IRC refers to the code published in 2009.</w:t>
      </w:r>
    </w:p>
    <w:p w:rsidR="00827FEC" w:rsidRDefault="00E60798" w:rsidP="00E60798">
      <w:r w:rsidRPr="00ED4633">
        <w:t>NEC – National Electric Code</w:t>
      </w:r>
      <w:r>
        <w:t xml:space="preserve"> </w:t>
      </w:r>
      <w:r w:rsidR="00827FEC" w:rsidRPr="00827FEC">
        <w:t xml:space="preserve">is a </w:t>
      </w:r>
      <w:hyperlink r:id="rId7" w:tooltip="United States" w:history="1">
        <w:r w:rsidR="00FA73A7" w:rsidRPr="00FA73A7">
          <w:rPr>
            <w:rStyle w:val="Hyperlink"/>
            <w:color w:val="auto"/>
          </w:rPr>
          <w:t>U</w:t>
        </w:r>
        <w:r w:rsidR="005642AF">
          <w:rPr>
            <w:rStyle w:val="Hyperlink"/>
            <w:color w:val="auto"/>
          </w:rPr>
          <w:t>.</w:t>
        </w:r>
        <w:r w:rsidR="00FA73A7" w:rsidRPr="00FA73A7">
          <w:rPr>
            <w:rStyle w:val="Hyperlink"/>
            <w:color w:val="auto"/>
          </w:rPr>
          <w:t>S</w:t>
        </w:r>
        <w:r w:rsidR="005642AF">
          <w:rPr>
            <w:rStyle w:val="Hyperlink"/>
            <w:color w:val="auto"/>
          </w:rPr>
          <w:t>.</w:t>
        </w:r>
      </w:hyperlink>
      <w:r w:rsidR="00FA73A7" w:rsidRPr="00FA73A7">
        <w:t xml:space="preserve"> standard for the safe installation of </w:t>
      </w:r>
      <w:hyperlink r:id="rId8" w:tooltip="Electrical wiring" w:history="1">
        <w:r w:rsidR="00FA73A7" w:rsidRPr="00FA73A7">
          <w:rPr>
            <w:rStyle w:val="Hyperlink"/>
            <w:color w:val="auto"/>
          </w:rPr>
          <w:t>electrical wiring</w:t>
        </w:r>
      </w:hyperlink>
      <w:r w:rsidR="00FA73A7" w:rsidRPr="00FA73A7">
        <w:t xml:space="preserve"> and equipment. It is part of the National Fire Codes series published by the </w:t>
      </w:r>
      <w:hyperlink r:id="rId9" w:tooltip="National Fire Protection Association" w:history="1">
        <w:r w:rsidR="00FA73A7" w:rsidRPr="00FA73A7">
          <w:rPr>
            <w:rStyle w:val="Hyperlink"/>
            <w:color w:val="auto"/>
          </w:rPr>
          <w:t>National Fire Protection Association</w:t>
        </w:r>
      </w:hyperlink>
      <w:r w:rsidR="00FA73A7" w:rsidRPr="00FA73A7">
        <w:t xml:space="preserve"> (NFPA). </w:t>
      </w:r>
    </w:p>
    <w:p w:rsidR="00D43448" w:rsidRDefault="00D43448" w:rsidP="00E60798">
      <w:r>
        <w:t xml:space="preserve">NFGC- National Fuel Gas Code </w:t>
      </w:r>
      <w:r w:rsidR="005642AF">
        <w:t xml:space="preserve">– </w:t>
      </w:r>
      <w:r w:rsidR="00FA73A7" w:rsidRPr="00FA73A7">
        <w:rPr>
          <w:color w:val="000000"/>
        </w:rPr>
        <w:t xml:space="preserve">The American Gas Association serves as the </w:t>
      </w:r>
      <w:r w:rsidR="005642AF">
        <w:rPr>
          <w:color w:val="000000"/>
        </w:rPr>
        <w:t>secretariat to</w:t>
      </w:r>
      <w:r w:rsidR="00FA73A7" w:rsidRPr="00FA73A7">
        <w:rPr>
          <w:color w:val="000000"/>
        </w:rPr>
        <w:t xml:space="preserve"> the ANSI Accredited Standards Committee (ASC) Z223 on National Fuel Gas Code. The ASC Z223 develops and publishes ANSI Z223.1, National Fuel Gas Code. The Code is jointly developed with the National Fire Protection Association (NFPA) 54 Committee and is also known as NFPA 54.</w:t>
      </w:r>
    </w:p>
    <w:p w:rsidR="00E60798" w:rsidRDefault="00E60798" w:rsidP="00E60798">
      <w:r>
        <w:t xml:space="preserve">NFPA </w:t>
      </w:r>
      <w:r w:rsidRPr="00ED4633">
        <w:t>–</w:t>
      </w:r>
      <w:r>
        <w:t xml:space="preserve"> </w:t>
      </w:r>
      <w:r w:rsidRPr="00793AC7">
        <w:t>The National Fire Protection Association develops, publishes, and disseminates more than 300 consensus codes and standards intended to minimize the possibility and effects of fire and other risks.</w:t>
      </w:r>
      <w:r>
        <w:t xml:space="preserve"> Codes are a</w:t>
      </w:r>
      <w:r w:rsidRPr="009C69F8">
        <w:t>vailable for purchase at</w:t>
      </w:r>
      <w:r w:rsidRPr="00F97AA6">
        <w:t xml:space="preserve"> </w:t>
      </w:r>
      <w:hyperlink r:id="rId10" w:history="1">
        <w:r w:rsidR="00D43448" w:rsidRPr="00063133">
          <w:rPr>
            <w:rStyle w:val="Hyperlink"/>
          </w:rPr>
          <w:t>www.nfpa.org</w:t>
        </w:r>
      </w:hyperlink>
      <w:r>
        <w:t>.</w:t>
      </w:r>
      <w:r w:rsidR="00D43448">
        <w:t xml:space="preserve"> Codes frequently referenced in weatherization are </w:t>
      </w:r>
      <w:r w:rsidR="00FA73A7" w:rsidRPr="00FA73A7">
        <w:rPr>
          <w:u w:val="single"/>
        </w:rPr>
        <w:t>NFPA 211</w:t>
      </w:r>
      <w:r w:rsidR="00D43448">
        <w:t xml:space="preserve"> for chimneys and vents, </w:t>
      </w:r>
      <w:r w:rsidR="00FA73A7" w:rsidRPr="00FA73A7">
        <w:rPr>
          <w:u w:val="single"/>
        </w:rPr>
        <w:t>NFPA 54</w:t>
      </w:r>
      <w:r w:rsidR="00D43448">
        <w:t>, for fuel burning appliances</w:t>
      </w:r>
      <w:r w:rsidR="005642AF">
        <w:t>,</w:t>
      </w:r>
      <w:r w:rsidR="00D43448">
        <w:t xml:space="preserve"> and </w:t>
      </w:r>
      <w:r w:rsidR="00FA73A7" w:rsidRPr="00FA73A7">
        <w:rPr>
          <w:u w:val="single"/>
        </w:rPr>
        <w:t>NFPA 31</w:t>
      </w:r>
      <w:r w:rsidR="00D43448">
        <w:t xml:space="preserve"> for oil burning appliances</w:t>
      </w:r>
    </w:p>
    <w:p w:rsidR="00E60798" w:rsidRPr="00ED4633" w:rsidRDefault="00E60798" w:rsidP="00E60798">
      <w:r w:rsidRPr="00ED4633">
        <w:t>UMC – Uniform Mechanical Code</w:t>
      </w:r>
      <w:r>
        <w:t xml:space="preserve"> (See IAPMO)</w:t>
      </w:r>
    </w:p>
    <w:p w:rsidR="00E60798" w:rsidRPr="00ED4633" w:rsidRDefault="00E60798" w:rsidP="00E60798">
      <w:r w:rsidRPr="00ED4633">
        <w:t>UPC – Uniform Plumbing Code</w:t>
      </w:r>
      <w:r>
        <w:t xml:space="preserve"> (See IAPMO)</w:t>
      </w:r>
    </w:p>
    <w:p w:rsidR="00E60798" w:rsidRDefault="00E60798" w:rsidP="00E60798">
      <w:pPr>
        <w:pStyle w:val="FootnoteText"/>
      </w:pPr>
      <w:r>
        <w:t>There are four regional field guides:</w:t>
      </w:r>
    </w:p>
    <w:p w:rsidR="00E60798" w:rsidRDefault="00E60798" w:rsidP="00E60798">
      <w:pPr>
        <w:pStyle w:val="FootnoteText"/>
        <w:numPr>
          <w:ilvl w:val="0"/>
          <w:numId w:val="8"/>
        </w:numPr>
      </w:pPr>
      <w:r>
        <w:t>DOE Weatherization Assistance Program, Midwest Regional Field Office. Midwest Weatherization Best Practices Field Guide May 2007. &lt;http://www.waptac.org&gt;.</w:t>
      </w:r>
    </w:p>
    <w:p w:rsidR="00E60798" w:rsidRDefault="00E60798" w:rsidP="00E60798">
      <w:pPr>
        <w:pStyle w:val="FootnoteText"/>
        <w:numPr>
          <w:ilvl w:val="0"/>
          <w:numId w:val="8"/>
        </w:numPr>
      </w:pPr>
      <w:r>
        <w:t>DOE Weatherization Assistance Program – Seattle Regional Office and Energy Out West. Energy Out West Weatherization Field Guide. 2005. Copyright Saturn 2009. &lt;http://www.azcommerce.com/doclib/ENERGY/EOW_WX_Field_Guide.pdf&gt;.</w:t>
      </w:r>
    </w:p>
    <w:p w:rsidR="00E60798" w:rsidRDefault="00E60798" w:rsidP="00E60798">
      <w:pPr>
        <w:pStyle w:val="FootnoteText"/>
        <w:numPr>
          <w:ilvl w:val="0"/>
          <w:numId w:val="8"/>
        </w:numPr>
      </w:pPr>
      <w:r>
        <w:lastRenderedPageBreak/>
        <w:t xml:space="preserve">DOE Weatherization Assistance Program. Southeast Weatherization Field Guide. </w:t>
      </w:r>
      <w:r w:rsidR="00FA73A7" w:rsidRPr="00FA73A7">
        <w:t>Date. Saturn</w:t>
      </w:r>
      <w:r w:rsidR="006D5D75">
        <w:t xml:space="preserve"> Resources Inc.</w:t>
      </w:r>
      <w:r w:rsidR="00FA73A7" w:rsidRPr="00FA73A7">
        <w:t xml:space="preserve"> </w:t>
      </w:r>
    </w:p>
    <w:p w:rsidR="00000000" w:rsidRDefault="00E60798">
      <w:pPr>
        <w:pStyle w:val="FootnoteText"/>
        <w:numPr>
          <w:ilvl w:val="0"/>
          <w:numId w:val="8"/>
        </w:numPr>
      </w:pPr>
      <w:r>
        <w:t xml:space="preserve">DOE Weatherization Assistance Program – Boston Support Office. Northeast Weatherization Field Guide. </w:t>
      </w:r>
      <w:r w:rsidR="006D5D75">
        <w:t>Saturn Resources Inc.</w:t>
      </w:r>
    </w:p>
    <w:sectPr w:rsidR="00000000" w:rsidSect="00E6079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AF" w:rsidRDefault="005642AF">
      <w:pPr>
        <w:spacing w:before="0" w:after="0"/>
      </w:pPr>
      <w:r>
        <w:separator/>
      </w:r>
    </w:p>
  </w:endnote>
  <w:endnote w:type="continuationSeparator" w:id="0">
    <w:p w:rsidR="005642AF" w:rsidRDefault="005642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 Pro W3">
    <w:altName w:val="Osaka"/>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AF" w:rsidRDefault="005642AF">
      <w:pPr>
        <w:spacing w:before="0" w:after="0"/>
      </w:pPr>
      <w:r>
        <w:separator/>
      </w:r>
    </w:p>
  </w:footnote>
  <w:footnote w:type="continuationSeparator" w:id="0">
    <w:p w:rsidR="005642AF" w:rsidRDefault="005642AF">
      <w:pPr>
        <w:spacing w:before="0" w:after="0"/>
      </w:pPr>
      <w:r>
        <w:continuationSeparator/>
      </w:r>
    </w:p>
  </w:footnote>
  <w:footnote w:id="1">
    <w:p w:rsidR="005642AF" w:rsidRDefault="005642AF">
      <w:pPr>
        <w:pStyle w:val="FootnoteText"/>
      </w:pPr>
      <w:r>
        <w:rPr>
          <w:rStyle w:val="FootnoteReference"/>
        </w:rPr>
        <w:footnoteRef/>
      </w:r>
      <w:r>
        <w:t xml:space="preserve"> </w:t>
      </w:r>
      <w:r w:rsidRPr="00CE557F">
        <w:t xml:space="preserve">Note: 24 in. x 20 in. = 3.34 sq. ft., meaning </w:t>
      </w:r>
      <w:r w:rsidR="00FE5F04">
        <w:t xml:space="preserve">at least </w:t>
      </w:r>
      <w:r w:rsidRPr="00CE557F">
        <w:t>one dimension must be greater than the code minimum.</w:t>
      </w:r>
    </w:p>
  </w:footnote>
  <w:footnote w:id="2">
    <w:p w:rsidR="005642AF" w:rsidRDefault="005642AF">
      <w:pPr>
        <w:pStyle w:val="FootnoteText"/>
      </w:pPr>
      <w:r>
        <w:rPr>
          <w:rStyle w:val="FootnoteReference"/>
        </w:rPr>
        <w:footnoteRef/>
      </w:r>
      <w:r>
        <w:t xml:space="preserve"> See the related worksheets in the Installer Intermediate “Mechanical Ventilation” section for more details.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76E"/>
    <w:multiLevelType w:val="hybridMultilevel"/>
    <w:tmpl w:val="F4A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62C4"/>
    <w:multiLevelType w:val="hybridMultilevel"/>
    <w:tmpl w:val="2E3AEF64"/>
    <w:lvl w:ilvl="0" w:tplc="DF6832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1D1630"/>
    <w:multiLevelType w:val="hybridMultilevel"/>
    <w:tmpl w:val="00725170"/>
    <w:lvl w:ilvl="0" w:tplc="B3DC99CE">
      <w:start w:val="1"/>
      <w:numFmt w:val="lowerLetter"/>
      <w:pStyle w:val="numberedlist"/>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554ABE"/>
    <w:multiLevelType w:val="hybridMultilevel"/>
    <w:tmpl w:val="2018A8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ambria"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ambria"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F8F2C8C"/>
    <w:multiLevelType w:val="hybridMultilevel"/>
    <w:tmpl w:val="70C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84A6A"/>
    <w:multiLevelType w:val="hybridMultilevel"/>
    <w:tmpl w:val="1B1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055CD"/>
    <w:multiLevelType w:val="hybridMultilevel"/>
    <w:tmpl w:val="C2A6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B32E56"/>
    <w:multiLevelType w:val="hybridMultilevel"/>
    <w:tmpl w:val="3A44B8B8"/>
    <w:lvl w:ilvl="0" w:tplc="786073B0">
      <w:start w:val="1"/>
      <w:numFmt w:val="bullet"/>
      <w:pStyle w:val="MediumGrid1-Accent21"/>
      <w:lvlText w:val=""/>
      <w:lvlJc w:val="left"/>
      <w:pPr>
        <w:ind w:left="720" w:hanging="360"/>
      </w:pPr>
      <w:rPr>
        <w:rFonts w:ascii="Symbol" w:hAnsi="Symbol" w:hint="default"/>
      </w:rPr>
    </w:lvl>
    <w:lvl w:ilvl="1" w:tplc="AC78F4CE">
      <w:start w:val="1"/>
      <w:numFmt w:val="bullet"/>
      <w:lvlText w:val="o"/>
      <w:lvlJc w:val="left"/>
      <w:pPr>
        <w:ind w:left="1440" w:hanging="360"/>
      </w:pPr>
      <w:rPr>
        <w:rFonts w:ascii="Courier New" w:hAnsi="Courier New" w:hint="default"/>
      </w:rPr>
    </w:lvl>
    <w:lvl w:ilvl="2" w:tplc="1E1C70FE">
      <w:start w:val="1"/>
      <w:numFmt w:val="bullet"/>
      <w:lvlText w:val=""/>
      <w:lvlJc w:val="left"/>
      <w:pPr>
        <w:ind w:left="2160" w:hanging="360"/>
      </w:pPr>
      <w:rPr>
        <w:rFonts w:ascii="Wingdings" w:hAnsi="Wingdings" w:hint="default"/>
      </w:rPr>
    </w:lvl>
    <w:lvl w:ilvl="3" w:tplc="18583334">
      <w:start w:val="1"/>
      <w:numFmt w:val="bullet"/>
      <w:lvlText w:val=""/>
      <w:lvlJc w:val="left"/>
      <w:pPr>
        <w:ind w:left="2880" w:hanging="360"/>
      </w:pPr>
      <w:rPr>
        <w:rFonts w:ascii="Symbol" w:hAnsi="Symbol" w:hint="default"/>
      </w:rPr>
    </w:lvl>
    <w:lvl w:ilvl="4" w:tplc="CBDC74B6">
      <w:start w:val="1"/>
      <w:numFmt w:val="bullet"/>
      <w:lvlText w:val="o"/>
      <w:lvlJc w:val="left"/>
      <w:pPr>
        <w:ind w:left="3600" w:hanging="360"/>
      </w:pPr>
      <w:rPr>
        <w:rFonts w:ascii="Courier New" w:hAnsi="Courier New" w:hint="default"/>
      </w:rPr>
    </w:lvl>
    <w:lvl w:ilvl="5" w:tplc="EA2E7226">
      <w:start w:val="1"/>
      <w:numFmt w:val="bullet"/>
      <w:lvlText w:val=""/>
      <w:lvlJc w:val="left"/>
      <w:pPr>
        <w:ind w:left="4320" w:hanging="360"/>
      </w:pPr>
      <w:rPr>
        <w:rFonts w:ascii="Wingdings" w:hAnsi="Wingdings" w:hint="default"/>
      </w:rPr>
    </w:lvl>
    <w:lvl w:ilvl="6" w:tplc="7DAC9236">
      <w:start w:val="1"/>
      <w:numFmt w:val="bullet"/>
      <w:lvlText w:val=""/>
      <w:lvlJc w:val="left"/>
      <w:pPr>
        <w:ind w:left="5040" w:hanging="360"/>
      </w:pPr>
      <w:rPr>
        <w:rFonts w:ascii="Symbol" w:hAnsi="Symbol" w:hint="default"/>
      </w:rPr>
    </w:lvl>
    <w:lvl w:ilvl="7" w:tplc="AAD06F1A">
      <w:start w:val="1"/>
      <w:numFmt w:val="bullet"/>
      <w:lvlText w:val="o"/>
      <w:lvlJc w:val="left"/>
      <w:pPr>
        <w:ind w:left="5760" w:hanging="360"/>
      </w:pPr>
      <w:rPr>
        <w:rFonts w:ascii="Courier New" w:hAnsi="Courier New" w:hint="default"/>
      </w:rPr>
    </w:lvl>
    <w:lvl w:ilvl="8" w:tplc="9356EF8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68627E"/>
    <w:rsid w:val="00070A14"/>
    <w:rsid w:val="00105D94"/>
    <w:rsid w:val="00172997"/>
    <w:rsid w:val="001B381B"/>
    <w:rsid w:val="002D5B02"/>
    <w:rsid w:val="003C06AC"/>
    <w:rsid w:val="003E6074"/>
    <w:rsid w:val="003F02E8"/>
    <w:rsid w:val="0051696C"/>
    <w:rsid w:val="005642AF"/>
    <w:rsid w:val="00686123"/>
    <w:rsid w:val="0068627E"/>
    <w:rsid w:val="006D5D75"/>
    <w:rsid w:val="00705D87"/>
    <w:rsid w:val="00741FB1"/>
    <w:rsid w:val="007D6AF3"/>
    <w:rsid w:val="007E5061"/>
    <w:rsid w:val="00827FEC"/>
    <w:rsid w:val="00A3108C"/>
    <w:rsid w:val="00A83243"/>
    <w:rsid w:val="00B002A8"/>
    <w:rsid w:val="00B26122"/>
    <w:rsid w:val="00D43448"/>
    <w:rsid w:val="00D76619"/>
    <w:rsid w:val="00E375DD"/>
    <w:rsid w:val="00E45098"/>
    <w:rsid w:val="00E60798"/>
    <w:rsid w:val="00F10789"/>
    <w:rsid w:val="00FA73A7"/>
    <w:rsid w:val="00FE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69F8"/>
    <w:pPr>
      <w:spacing w:before="120" w:after="120"/>
    </w:pPr>
    <w:rPr>
      <w:sz w:val="24"/>
      <w:szCs w:val="24"/>
    </w:rPr>
  </w:style>
  <w:style w:type="paragraph" w:styleId="Heading1">
    <w:name w:val="heading 1"/>
    <w:basedOn w:val="Title"/>
    <w:next w:val="Normal"/>
    <w:link w:val="Heading1Char"/>
    <w:uiPriority w:val="99"/>
    <w:qFormat/>
    <w:rsid w:val="009C69F8"/>
    <w:pPr>
      <w:pBdr>
        <w:bottom w:val="single" w:sz="8" w:space="4" w:color="4F81BD"/>
      </w:pBdr>
      <w:spacing w:before="120" w:after="300"/>
      <w:jc w:val="left"/>
    </w:pPr>
    <w:rPr>
      <w:b w:val="0"/>
      <w:bCs w:val="0"/>
      <w:spacing w:val="5"/>
      <w:sz w:val="52"/>
      <w:szCs w:val="52"/>
    </w:rPr>
  </w:style>
  <w:style w:type="paragraph" w:styleId="Heading2">
    <w:name w:val="heading 2"/>
    <w:basedOn w:val="Normal"/>
    <w:next w:val="Normal"/>
    <w:link w:val="Heading2Char"/>
    <w:uiPriority w:val="99"/>
    <w:qFormat/>
    <w:rsid w:val="009C69F8"/>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CE9"/>
    <w:pPr>
      <w:tabs>
        <w:tab w:val="left" w:pos="720"/>
        <w:tab w:val="left" w:pos="1440"/>
        <w:tab w:val="left" w:pos="2160"/>
        <w:tab w:val="left" w:pos="2880"/>
        <w:tab w:val="left" w:pos="3600"/>
      </w:tabs>
    </w:pPr>
    <w:rPr>
      <w:sz w:val="20"/>
      <w:szCs w:val="20"/>
    </w:rPr>
  </w:style>
  <w:style w:type="character" w:styleId="CommentReference">
    <w:name w:val="annotation reference"/>
    <w:basedOn w:val="DefaultParagraphFont"/>
    <w:uiPriority w:val="99"/>
    <w:semiHidden/>
    <w:rsid w:val="009C69F8"/>
    <w:rPr>
      <w:rFonts w:cs="Times New Roman"/>
      <w:sz w:val="16"/>
      <w:szCs w:val="16"/>
    </w:rPr>
  </w:style>
  <w:style w:type="paragraph" w:styleId="BalloonText">
    <w:name w:val="Balloon Text"/>
    <w:basedOn w:val="Normal"/>
    <w:uiPriority w:val="99"/>
    <w:semiHidden/>
    <w:rsid w:val="009C69F8"/>
    <w:rPr>
      <w:rFonts w:ascii="Tahoma" w:hAnsi="Tahoma" w:cs="Tahoma"/>
      <w:sz w:val="16"/>
      <w:szCs w:val="16"/>
    </w:rPr>
  </w:style>
  <w:style w:type="paragraph" w:styleId="CommentText">
    <w:name w:val="annotation text"/>
    <w:basedOn w:val="Normal"/>
    <w:uiPriority w:val="99"/>
    <w:semiHidden/>
    <w:rsid w:val="009C69F8"/>
    <w:rPr>
      <w:sz w:val="20"/>
      <w:szCs w:val="20"/>
    </w:rPr>
  </w:style>
  <w:style w:type="paragraph" w:styleId="CommentSubject">
    <w:name w:val="annotation subject"/>
    <w:basedOn w:val="CommentText"/>
    <w:next w:val="CommentText"/>
    <w:uiPriority w:val="99"/>
    <w:semiHidden/>
    <w:rsid w:val="009C69F8"/>
    <w:rPr>
      <w:b/>
      <w:bCs/>
    </w:rPr>
  </w:style>
  <w:style w:type="character" w:styleId="Hyperlink">
    <w:name w:val="Hyperlink"/>
    <w:basedOn w:val="DefaultParagraphFont"/>
    <w:uiPriority w:val="99"/>
    <w:rsid w:val="009C69F8"/>
    <w:rPr>
      <w:rFonts w:cs="Times New Roman"/>
      <w:color w:val="0000FF"/>
      <w:u w:val="single"/>
    </w:rPr>
  </w:style>
  <w:style w:type="character" w:styleId="FollowedHyperlink">
    <w:name w:val="FollowedHyperlink"/>
    <w:basedOn w:val="DefaultParagraphFont"/>
    <w:rsid w:val="00B76EAE"/>
    <w:rPr>
      <w:color w:val="800080"/>
      <w:u w:val="single"/>
    </w:rPr>
  </w:style>
  <w:style w:type="table" w:styleId="TableGrid">
    <w:name w:val="Table Grid"/>
    <w:basedOn w:val="TableNormal"/>
    <w:rsid w:val="008B0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99"/>
    <w:qFormat/>
    <w:rsid w:val="009C69F8"/>
    <w:pPr>
      <w:numPr>
        <w:numId w:val="4"/>
      </w:numPr>
    </w:pPr>
  </w:style>
  <w:style w:type="paragraph" w:styleId="DocumentMap">
    <w:name w:val="Document Map"/>
    <w:basedOn w:val="Normal"/>
    <w:semiHidden/>
    <w:rsid w:val="00211E0D"/>
    <w:pPr>
      <w:shd w:val="clear" w:color="auto" w:fill="000080"/>
    </w:pPr>
    <w:rPr>
      <w:rFonts w:ascii="Tahoma" w:hAnsi="Tahoma" w:cs="Tahoma"/>
      <w:sz w:val="20"/>
      <w:szCs w:val="20"/>
    </w:rPr>
  </w:style>
  <w:style w:type="paragraph" w:styleId="NormalWeb">
    <w:name w:val="Normal (Web)"/>
    <w:basedOn w:val="Normal"/>
    <w:rsid w:val="00B65A79"/>
    <w:pPr>
      <w:spacing w:before="100" w:beforeAutospacing="1" w:after="100" w:afterAutospacing="1"/>
    </w:pPr>
  </w:style>
  <w:style w:type="character" w:customStyle="1" w:styleId="body1">
    <w:name w:val="body1"/>
    <w:basedOn w:val="DefaultParagraphFont"/>
    <w:rsid w:val="00B65A79"/>
    <w:rPr>
      <w:rFonts w:ascii="Arial" w:hAnsi="Arial" w:cs="Arial" w:hint="default"/>
      <w:b w:val="0"/>
      <w:bCs w:val="0"/>
      <w:strike w:val="0"/>
      <w:dstrike w:val="0"/>
      <w:color w:val="000000"/>
      <w:sz w:val="18"/>
      <w:szCs w:val="18"/>
      <w:u w:val="none"/>
      <w:effect w:val="none"/>
    </w:rPr>
  </w:style>
  <w:style w:type="character" w:customStyle="1" w:styleId="iccstylescustom-standardtext1">
    <w:name w:val="iccstylescustom-standardtext1"/>
    <w:basedOn w:val="DefaultParagraphFont"/>
    <w:rsid w:val="00A933F0"/>
    <w:rPr>
      <w:rFonts w:ascii="Arial" w:hAnsi="Arial" w:cs="Arial" w:hint="default"/>
      <w:color w:val="3A3A3A"/>
      <w:sz w:val="18"/>
      <w:szCs w:val="18"/>
    </w:rPr>
  </w:style>
  <w:style w:type="paragraph" w:styleId="Footer">
    <w:name w:val="footer"/>
    <w:basedOn w:val="Normal"/>
    <w:link w:val="FooterChar"/>
    <w:uiPriority w:val="99"/>
    <w:rsid w:val="009C69F8"/>
    <w:pPr>
      <w:tabs>
        <w:tab w:val="center" w:pos="4320"/>
        <w:tab w:val="right" w:pos="8640"/>
      </w:tabs>
    </w:pPr>
  </w:style>
  <w:style w:type="character" w:customStyle="1" w:styleId="FooterChar">
    <w:name w:val="Footer Char"/>
    <w:basedOn w:val="DefaultParagraphFont"/>
    <w:link w:val="Footer"/>
    <w:uiPriority w:val="99"/>
    <w:rsid w:val="009C69F8"/>
    <w:rPr>
      <w:sz w:val="24"/>
      <w:szCs w:val="24"/>
    </w:rPr>
  </w:style>
  <w:style w:type="paragraph" w:styleId="Header">
    <w:name w:val="header"/>
    <w:basedOn w:val="Normal"/>
    <w:link w:val="HeaderChar"/>
    <w:uiPriority w:val="99"/>
    <w:rsid w:val="009C69F8"/>
    <w:pPr>
      <w:tabs>
        <w:tab w:val="center" w:pos="4320"/>
        <w:tab w:val="right" w:pos="8640"/>
      </w:tabs>
    </w:pPr>
  </w:style>
  <w:style w:type="character" w:customStyle="1" w:styleId="HeaderChar">
    <w:name w:val="Header Char"/>
    <w:basedOn w:val="DefaultParagraphFont"/>
    <w:link w:val="Header"/>
    <w:uiPriority w:val="99"/>
    <w:rsid w:val="009C69F8"/>
    <w:rPr>
      <w:sz w:val="24"/>
      <w:szCs w:val="24"/>
    </w:rPr>
  </w:style>
  <w:style w:type="paragraph" w:styleId="Title">
    <w:name w:val="Title"/>
    <w:basedOn w:val="Normal"/>
    <w:link w:val="TitleChar"/>
    <w:uiPriority w:val="99"/>
    <w:qFormat/>
    <w:rsid w:val="009C69F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9C69F8"/>
    <w:rPr>
      <w:rFonts w:ascii="Arial" w:hAnsi="Arial" w:cs="Arial"/>
      <w:b/>
      <w:bCs/>
      <w:kern w:val="28"/>
      <w:sz w:val="32"/>
      <w:szCs w:val="32"/>
    </w:rPr>
  </w:style>
  <w:style w:type="character" w:customStyle="1" w:styleId="Heading1Char">
    <w:name w:val="Heading 1 Char"/>
    <w:basedOn w:val="DefaultParagraphFont"/>
    <w:link w:val="Heading1"/>
    <w:uiPriority w:val="99"/>
    <w:rsid w:val="009C69F8"/>
    <w:rPr>
      <w:rFonts w:ascii="Arial" w:hAnsi="Arial" w:cs="Arial"/>
      <w:spacing w:val="5"/>
      <w:kern w:val="28"/>
      <w:sz w:val="52"/>
      <w:szCs w:val="52"/>
    </w:rPr>
  </w:style>
  <w:style w:type="character" w:customStyle="1" w:styleId="Heading2Char">
    <w:name w:val="Heading 2 Char"/>
    <w:basedOn w:val="DefaultParagraphFont"/>
    <w:link w:val="Heading2"/>
    <w:uiPriority w:val="99"/>
    <w:rsid w:val="009C69F8"/>
    <w:rPr>
      <w:rFonts w:ascii="Cambria" w:hAnsi="Cambria" w:cs="Cambria"/>
      <w:b/>
      <w:bCs/>
      <w:color w:val="4F81BD"/>
      <w:sz w:val="26"/>
      <w:szCs w:val="26"/>
    </w:rPr>
  </w:style>
  <w:style w:type="character" w:styleId="LineNumber">
    <w:name w:val="line number"/>
    <w:basedOn w:val="DefaultParagraphFont"/>
    <w:uiPriority w:val="99"/>
    <w:unhideWhenUsed/>
    <w:rsid w:val="009C69F8"/>
  </w:style>
  <w:style w:type="paragraph" w:customStyle="1" w:styleId="numberedlist">
    <w:name w:val="numbered list"/>
    <w:basedOn w:val="MediumGrid1-Accent21"/>
    <w:qFormat/>
    <w:rsid w:val="009C69F8"/>
    <w:pPr>
      <w:keepNext/>
      <w:keepLines/>
      <w:numPr>
        <w:numId w:val="5"/>
      </w:numPr>
    </w:pPr>
  </w:style>
  <w:style w:type="character" w:styleId="PageNumber">
    <w:name w:val="page number"/>
    <w:basedOn w:val="DefaultParagraphFont"/>
    <w:uiPriority w:val="99"/>
    <w:rsid w:val="009C69F8"/>
    <w:rPr>
      <w:rFonts w:cs="Times New Roman"/>
    </w:rPr>
  </w:style>
  <w:style w:type="paragraph" w:customStyle="1" w:styleId="Subheading">
    <w:name w:val="Subheading"/>
    <w:autoRedefine/>
    <w:uiPriority w:val="99"/>
    <w:rsid w:val="009C69F8"/>
    <w:pPr>
      <w:spacing w:before="240" w:after="240"/>
    </w:pPr>
    <w:rPr>
      <w:rFonts w:ascii="Arial" w:hAnsi="Arial"/>
      <w:sz w:val="36"/>
      <w:szCs w:val="24"/>
    </w:rPr>
  </w:style>
  <w:style w:type="paragraph" w:customStyle="1" w:styleId="StyleSubheadingArial18pt">
    <w:name w:val="Style Subheading + Arial 18 pt"/>
    <w:basedOn w:val="Subheading"/>
    <w:rsid w:val="009C69F8"/>
  </w:style>
  <w:style w:type="paragraph" w:customStyle="1" w:styleId="Subsubheading">
    <w:name w:val="Sub sub heading"/>
    <w:uiPriority w:val="99"/>
    <w:rsid w:val="009C69F8"/>
    <w:pPr>
      <w:spacing w:before="120" w:after="120"/>
    </w:pPr>
    <w:rPr>
      <w:rFonts w:ascii="Arial" w:eastAsia="?????? Pro W3" w:hAnsi="Arial" w:cs="Arial"/>
      <w:b/>
      <w:bCs/>
      <w:sz w:val="24"/>
      <w:szCs w:val="24"/>
    </w:rPr>
  </w:style>
  <w:style w:type="paragraph" w:customStyle="1" w:styleId="StyleAfter0pt">
    <w:name w:val="Style After:  0 pt"/>
    <w:basedOn w:val="Normal"/>
    <w:rsid w:val="009C69F8"/>
    <w:pPr>
      <w:spacing w:after="0"/>
    </w:pPr>
    <w:rPr>
      <w:szCs w:val="20"/>
    </w:rPr>
  </w:style>
  <w:style w:type="character" w:customStyle="1" w:styleId="StyleItalic">
    <w:name w:val="Style Italic"/>
    <w:basedOn w:val="DefaultParagraphFont"/>
    <w:rsid w:val="009C69F8"/>
    <w:rPr>
      <w:i/>
      <w:iCs/>
    </w:rPr>
  </w:style>
  <w:style w:type="paragraph" w:styleId="FootnoteText">
    <w:name w:val="footnote text"/>
    <w:basedOn w:val="Normal"/>
    <w:link w:val="FootnoteTextChar"/>
    <w:rsid w:val="0024273E"/>
  </w:style>
  <w:style w:type="character" w:customStyle="1" w:styleId="FootnoteTextChar">
    <w:name w:val="Footnote Text Char"/>
    <w:basedOn w:val="DefaultParagraphFont"/>
    <w:link w:val="FootnoteText"/>
    <w:rsid w:val="0024273E"/>
    <w:rPr>
      <w:sz w:val="24"/>
      <w:szCs w:val="24"/>
    </w:rPr>
  </w:style>
  <w:style w:type="character" w:styleId="FootnoteReference">
    <w:name w:val="footnote reference"/>
    <w:basedOn w:val="DefaultParagraphFont"/>
    <w:rsid w:val="0024273E"/>
    <w:rPr>
      <w:vertAlign w:val="superscript"/>
    </w:rPr>
  </w:style>
  <w:style w:type="paragraph" w:styleId="Revision">
    <w:name w:val="Revision"/>
    <w:hidden/>
    <w:rsid w:val="005642AF"/>
    <w:rPr>
      <w:sz w:val="24"/>
      <w:szCs w:val="24"/>
    </w:rPr>
  </w:style>
</w:styles>
</file>

<file path=word/webSettings.xml><?xml version="1.0" encoding="utf-8"?>
<w:webSettings xmlns:r="http://schemas.openxmlformats.org/officeDocument/2006/relationships" xmlns:w="http://schemas.openxmlformats.org/wordprocessingml/2006/main">
  <w:divs>
    <w:div w:id="699429503">
      <w:bodyDiv w:val="1"/>
      <w:marLeft w:val="0"/>
      <w:marRight w:val="0"/>
      <w:marTop w:val="0"/>
      <w:marBottom w:val="0"/>
      <w:divBdr>
        <w:top w:val="none" w:sz="0" w:space="0" w:color="auto"/>
        <w:left w:val="none" w:sz="0" w:space="0" w:color="auto"/>
        <w:bottom w:val="none" w:sz="0" w:space="0" w:color="auto"/>
        <w:right w:val="none" w:sz="0" w:space="0" w:color="auto"/>
      </w:divBdr>
      <w:divsChild>
        <w:div w:id="1903328559">
          <w:marLeft w:val="0"/>
          <w:marRight w:val="0"/>
          <w:marTop w:val="0"/>
          <w:marBottom w:val="0"/>
          <w:divBdr>
            <w:top w:val="none" w:sz="0" w:space="0" w:color="auto"/>
            <w:left w:val="none" w:sz="0" w:space="0" w:color="auto"/>
            <w:bottom w:val="none" w:sz="0" w:space="0" w:color="auto"/>
            <w:right w:val="none" w:sz="0" w:space="0" w:color="auto"/>
          </w:divBdr>
          <w:divsChild>
            <w:div w:id="849835092">
              <w:marLeft w:val="0"/>
              <w:marRight w:val="0"/>
              <w:marTop w:val="0"/>
              <w:marBottom w:val="0"/>
              <w:divBdr>
                <w:top w:val="none" w:sz="0" w:space="0" w:color="auto"/>
                <w:left w:val="single" w:sz="6" w:space="0" w:color="FFFFFF"/>
                <w:bottom w:val="single" w:sz="6" w:space="0" w:color="FFFFFF"/>
                <w:right w:val="single" w:sz="6" w:space="0" w:color="FFFFFF"/>
              </w:divBdr>
              <w:divsChild>
                <w:div w:id="510678577">
                  <w:marLeft w:val="0"/>
                  <w:marRight w:val="0"/>
                  <w:marTop w:val="0"/>
                  <w:marBottom w:val="0"/>
                  <w:divBdr>
                    <w:top w:val="none" w:sz="0" w:space="0" w:color="auto"/>
                    <w:left w:val="none" w:sz="0" w:space="0" w:color="auto"/>
                    <w:bottom w:val="none" w:sz="0" w:space="0" w:color="auto"/>
                    <w:right w:val="none" w:sz="0" w:space="0" w:color="auto"/>
                  </w:divBdr>
                  <w:divsChild>
                    <w:div w:id="1411611400">
                      <w:marLeft w:val="0"/>
                      <w:marRight w:val="0"/>
                      <w:marTop w:val="0"/>
                      <w:marBottom w:val="0"/>
                      <w:divBdr>
                        <w:top w:val="none" w:sz="0" w:space="0" w:color="auto"/>
                        <w:left w:val="none" w:sz="0" w:space="0" w:color="auto"/>
                        <w:bottom w:val="none" w:sz="0" w:space="0" w:color="auto"/>
                        <w:right w:val="none" w:sz="0" w:space="0" w:color="auto"/>
                      </w:divBdr>
                      <w:divsChild>
                        <w:div w:id="1797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ical_wiring" TargetMode="External"/><Relationship Id="rId3" Type="http://schemas.openxmlformats.org/officeDocument/2006/relationships/settings" Target="settings.xml"/><Relationship Id="rId7" Type="http://schemas.openxmlformats.org/officeDocument/2006/relationships/hyperlink" Target="http://en.wikipedia.org/wiki/United_St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fpa.org" TargetMode="External"/><Relationship Id="rId4" Type="http://schemas.openxmlformats.org/officeDocument/2006/relationships/webSettings" Target="webSettings.xml"/><Relationship Id="rId9" Type="http://schemas.openxmlformats.org/officeDocument/2006/relationships/hyperlink" Target="http://en.wikipedia.org/wiki/National_Fire_Protection_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Hand out “Applicable Codes” sheet</vt:lpstr>
    </vt:vector>
  </TitlesOfParts>
  <Company>drintl</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out “Applicable Codes” sheet</dc:title>
  <dc:subject/>
  <dc:creator>Susan Conbere</dc:creator>
  <cp:keywords/>
  <cp:lastModifiedBy>sconbere</cp:lastModifiedBy>
  <cp:revision>4</cp:revision>
  <dcterms:created xsi:type="dcterms:W3CDTF">2010-05-06T13:54:00Z</dcterms:created>
  <dcterms:modified xsi:type="dcterms:W3CDTF">2010-05-06T13:55:00Z</dcterms:modified>
</cp:coreProperties>
</file>